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9CC" w:rsidRPr="006F48F8" w:rsidRDefault="006A29CC" w:rsidP="006F48F8">
      <w:pPr>
        <w:spacing w:after="0" w:line="240" w:lineRule="auto"/>
        <w:rPr>
          <w:lang w:val="en-US"/>
        </w:rPr>
      </w:pPr>
    </w:p>
    <w:p w:rsidR="006A29CC" w:rsidRPr="007C4D07" w:rsidRDefault="006A29CC" w:rsidP="006F48F8">
      <w:pPr>
        <w:spacing w:after="0" w:line="240" w:lineRule="auto"/>
        <w:rPr>
          <w:b/>
          <w:sz w:val="28"/>
          <w:szCs w:val="28"/>
          <w:lang w:val="en-US"/>
        </w:rPr>
      </w:pPr>
      <w:r w:rsidRPr="007C4D07">
        <w:rPr>
          <w:b/>
          <w:sz w:val="28"/>
          <w:szCs w:val="28"/>
          <w:lang w:val="en-US"/>
        </w:rPr>
        <w:t>Soil Layers</w:t>
      </w:r>
    </w:p>
    <w:p w:rsidR="006A29CC" w:rsidRPr="006F48F8" w:rsidRDefault="006A29CC" w:rsidP="006F48F8">
      <w:pPr>
        <w:spacing w:after="0" w:line="240" w:lineRule="auto"/>
        <w:rPr>
          <w:lang w:val="en-US"/>
        </w:rPr>
      </w:pPr>
      <w:r w:rsidRPr="006F48F8">
        <w:rPr>
          <w:lang w:val="en-US"/>
        </w:rPr>
        <w:t xml:space="preserve">Habitat use for many species is directly affected by the type of soil and the vegetation that grows on that soil. As a result, soil information </w:t>
      </w:r>
      <w:r w:rsidR="00C009C7">
        <w:rPr>
          <w:lang w:val="en-US"/>
        </w:rPr>
        <w:t>was</w:t>
      </w:r>
      <w:r w:rsidRPr="006F48F8">
        <w:rPr>
          <w:lang w:val="en-US"/>
        </w:rPr>
        <w:t xml:space="preserve"> used </w:t>
      </w:r>
      <w:r w:rsidR="00C009C7">
        <w:rPr>
          <w:lang w:val="en-US"/>
        </w:rPr>
        <w:t xml:space="preserve">by ABMI </w:t>
      </w:r>
      <w:r w:rsidRPr="006F48F8">
        <w:rPr>
          <w:lang w:val="en-US"/>
        </w:rPr>
        <w:t xml:space="preserve">when modeling variation in species abundance throughout </w:t>
      </w:r>
      <w:r w:rsidR="00092375" w:rsidRPr="006F48F8">
        <w:rPr>
          <w:lang w:val="en-US"/>
        </w:rPr>
        <w:t>Alberta</w:t>
      </w:r>
      <w:r w:rsidRPr="006F48F8">
        <w:rPr>
          <w:lang w:val="en-US"/>
        </w:rPr>
        <w:t xml:space="preserve">. In addition, soil characteristics </w:t>
      </w:r>
      <w:r w:rsidR="00C009C7">
        <w:rPr>
          <w:lang w:val="en-US"/>
        </w:rPr>
        <w:t>were</w:t>
      </w:r>
      <w:r w:rsidRPr="006F48F8">
        <w:rPr>
          <w:lang w:val="en-US"/>
        </w:rPr>
        <w:t xml:space="preserve"> used </w:t>
      </w:r>
      <w:r w:rsidR="00092375" w:rsidRPr="006F48F8">
        <w:rPr>
          <w:lang w:val="en-US"/>
        </w:rPr>
        <w:t xml:space="preserve">in gap analyses to </w:t>
      </w:r>
      <w:proofErr w:type="spellStart"/>
      <w:r w:rsidR="00092375" w:rsidRPr="006F48F8">
        <w:rPr>
          <w:lang w:val="en-US"/>
        </w:rPr>
        <w:t>priorize</w:t>
      </w:r>
      <w:proofErr w:type="spellEnd"/>
      <w:r w:rsidR="00092375" w:rsidRPr="006F48F8">
        <w:rPr>
          <w:lang w:val="en-US"/>
        </w:rPr>
        <w:t xml:space="preserve"> management actions. A</w:t>
      </w:r>
      <w:r w:rsidRPr="006F48F8">
        <w:rPr>
          <w:lang w:val="en-US"/>
        </w:rPr>
        <w:t xml:space="preserve"> variety of soil layers</w:t>
      </w:r>
      <w:r w:rsidR="00C009C7">
        <w:rPr>
          <w:lang w:val="en-US"/>
        </w:rPr>
        <w:t xml:space="preserve"> we</w:t>
      </w:r>
      <w:r w:rsidR="00092375" w:rsidRPr="006F48F8">
        <w:rPr>
          <w:lang w:val="en-US"/>
        </w:rPr>
        <w:t>re used by ABMI</w:t>
      </w:r>
      <w:r w:rsidRPr="006F48F8">
        <w:rPr>
          <w:lang w:val="en-US"/>
        </w:rPr>
        <w:t>.</w:t>
      </w:r>
    </w:p>
    <w:p w:rsidR="0082751C" w:rsidRPr="006F48F8" w:rsidRDefault="0082751C" w:rsidP="006F48F8">
      <w:pPr>
        <w:spacing w:after="0" w:line="240" w:lineRule="auto"/>
        <w:rPr>
          <w:lang w:val="en-US"/>
        </w:rPr>
      </w:pPr>
    </w:p>
    <w:p w:rsidR="006A29CC" w:rsidRPr="006F48F8" w:rsidRDefault="00727FE0" w:rsidP="007C4D07">
      <w:pPr>
        <w:spacing w:after="0" w:line="240" w:lineRule="auto"/>
        <w:rPr>
          <w:lang w:val="en-US"/>
        </w:rPr>
      </w:pPr>
      <w:r w:rsidRPr="006F48F8">
        <w:rPr>
          <w:i/>
          <w:u w:val="single"/>
          <w:lang w:val="en-US"/>
        </w:rPr>
        <w:t>Surficial Geology of Alberta</w:t>
      </w:r>
    </w:p>
    <w:p w:rsidR="00727FE0" w:rsidRPr="006F48F8" w:rsidRDefault="00727FE0" w:rsidP="007C4D07">
      <w:pPr>
        <w:shd w:val="clear" w:color="auto" w:fill="FFFFFF"/>
        <w:spacing w:after="0" w:line="240" w:lineRule="auto"/>
        <w:rPr>
          <w:lang w:val="en-US"/>
        </w:rPr>
      </w:pPr>
      <w:r w:rsidRPr="00727FE0">
        <w:rPr>
          <w:rFonts w:eastAsia="Times New Roman" w:cs="Times New Roman"/>
          <w:lang w:eastAsia="en-CA"/>
        </w:rPr>
        <w:t xml:space="preserve">This </w:t>
      </w:r>
      <w:r w:rsidR="00CD34AC" w:rsidRPr="006F48F8">
        <w:rPr>
          <w:rFonts w:eastAsia="Times New Roman" w:cs="Times New Roman"/>
          <w:lang w:eastAsia="en-CA"/>
        </w:rPr>
        <w:t>GIS layer</w:t>
      </w:r>
      <w:r w:rsidRPr="00727FE0">
        <w:rPr>
          <w:rFonts w:eastAsia="Times New Roman" w:cs="Times New Roman"/>
          <w:lang w:eastAsia="en-CA"/>
        </w:rPr>
        <w:t xml:space="preserve"> </w:t>
      </w:r>
      <w:r w:rsidR="00CD34AC" w:rsidRPr="006F48F8">
        <w:rPr>
          <w:rFonts w:eastAsia="Times New Roman" w:cs="Times New Roman"/>
          <w:lang w:eastAsia="en-CA"/>
        </w:rPr>
        <w:t>is</w:t>
      </w:r>
      <w:r w:rsidRPr="00727FE0">
        <w:rPr>
          <w:rFonts w:eastAsia="Times New Roman" w:cs="Times New Roman"/>
          <w:lang w:eastAsia="en-CA"/>
        </w:rPr>
        <w:t xml:space="preserve"> a generalized compilation of the su</w:t>
      </w:r>
      <w:r w:rsidR="00CD34AC" w:rsidRPr="006F48F8">
        <w:rPr>
          <w:rFonts w:eastAsia="Times New Roman" w:cs="Times New Roman"/>
          <w:lang w:eastAsia="en-CA"/>
        </w:rPr>
        <w:t xml:space="preserve">rficial geology of Alberta </w:t>
      </w:r>
      <w:r w:rsidRPr="00727FE0">
        <w:rPr>
          <w:rFonts w:eastAsia="Times New Roman" w:cs="Times New Roman"/>
          <w:lang w:eastAsia="en-CA"/>
        </w:rPr>
        <w:t xml:space="preserve">using published Alberta Geological Survey, Geological Survey of Canada, and Environment Canada </w:t>
      </w:r>
      <w:r w:rsidR="00CD34AC" w:rsidRPr="006F48F8">
        <w:rPr>
          <w:rFonts w:eastAsia="Times New Roman" w:cs="Times New Roman"/>
          <w:lang w:eastAsia="en-CA"/>
        </w:rPr>
        <w:t>information</w:t>
      </w:r>
      <w:r w:rsidRPr="00727FE0">
        <w:rPr>
          <w:rFonts w:eastAsia="Times New Roman" w:cs="Times New Roman"/>
          <w:lang w:eastAsia="en-CA"/>
        </w:rPr>
        <w:t>, as well as university theses</w:t>
      </w:r>
      <w:r w:rsidR="00C009C7">
        <w:rPr>
          <w:rFonts w:eastAsia="Times New Roman" w:cs="Times New Roman"/>
          <w:lang w:eastAsia="en-CA"/>
        </w:rPr>
        <w:t xml:space="preserve"> data</w:t>
      </w:r>
      <w:r w:rsidRPr="00727FE0">
        <w:rPr>
          <w:rFonts w:eastAsia="Times New Roman" w:cs="Times New Roman"/>
          <w:lang w:eastAsia="en-CA"/>
        </w:rPr>
        <w:t xml:space="preserve">. </w:t>
      </w:r>
      <w:r w:rsidR="00CD34AC" w:rsidRPr="006F48F8">
        <w:rPr>
          <w:rFonts w:eastAsia="Times New Roman" w:cs="Times New Roman"/>
          <w:lang w:eastAsia="en-CA"/>
        </w:rPr>
        <w:t>B</w:t>
      </w:r>
      <w:r w:rsidRPr="00727FE0">
        <w:rPr>
          <w:rFonts w:eastAsia="Times New Roman" w:cs="Times New Roman"/>
          <w:lang w:eastAsia="en-CA"/>
        </w:rPr>
        <w:t xml:space="preserve">oundary discrepancies </w:t>
      </w:r>
      <w:r w:rsidR="00CD34AC" w:rsidRPr="006F48F8">
        <w:rPr>
          <w:rFonts w:eastAsia="Times New Roman" w:cs="Times New Roman"/>
          <w:lang w:eastAsia="en-CA"/>
        </w:rPr>
        <w:t xml:space="preserve">between information sources </w:t>
      </w:r>
      <w:r w:rsidRPr="00727FE0">
        <w:rPr>
          <w:rFonts w:eastAsia="Times New Roman" w:cs="Times New Roman"/>
          <w:lang w:eastAsia="en-CA"/>
        </w:rPr>
        <w:t xml:space="preserve">were largely resolved during the process of reclassifying the input data to a common legend with only limited remapping. </w:t>
      </w:r>
      <w:r w:rsidR="00CD34AC" w:rsidRPr="006F48F8">
        <w:rPr>
          <w:rFonts w:eastAsia="Times New Roman" w:cs="Times New Roman"/>
          <w:lang w:val="en" w:eastAsia="en-CA"/>
        </w:rPr>
        <w:t>This GIS layer was created</w:t>
      </w:r>
      <w:r w:rsidR="00CD34AC" w:rsidRPr="00727FE0">
        <w:rPr>
          <w:rFonts w:eastAsia="Times New Roman" w:cs="Times New Roman"/>
          <w:lang w:val="en" w:eastAsia="en-CA"/>
        </w:rPr>
        <w:t xml:space="preserve"> at a scale of </w:t>
      </w:r>
      <w:r w:rsidR="00CD34AC" w:rsidRPr="006F48F8">
        <w:rPr>
          <w:rFonts w:eastAsia="Times New Roman" w:cs="Times New Roman"/>
          <w:lang w:eastAsia="en-CA"/>
        </w:rPr>
        <w:t>1:1,</w:t>
      </w:r>
      <w:r w:rsidR="00CD34AC" w:rsidRPr="00727FE0">
        <w:rPr>
          <w:rFonts w:eastAsia="Times New Roman" w:cs="Times New Roman"/>
          <w:lang w:eastAsia="en-CA"/>
        </w:rPr>
        <w:t>000</w:t>
      </w:r>
      <w:r w:rsidR="00CD34AC" w:rsidRPr="006F48F8">
        <w:rPr>
          <w:rFonts w:eastAsia="Times New Roman" w:cs="Times New Roman"/>
          <w:lang w:eastAsia="en-CA"/>
        </w:rPr>
        <w:t>,</w:t>
      </w:r>
      <w:r w:rsidR="00CD34AC" w:rsidRPr="00727FE0">
        <w:rPr>
          <w:rFonts w:eastAsia="Times New Roman" w:cs="Times New Roman"/>
          <w:lang w:eastAsia="en-CA"/>
        </w:rPr>
        <w:t xml:space="preserve">000 </w:t>
      </w:r>
      <w:r w:rsidR="00CD34AC" w:rsidRPr="006F48F8">
        <w:rPr>
          <w:rFonts w:eastAsia="Times New Roman" w:cs="Times New Roman"/>
          <w:lang w:val="en" w:eastAsia="en-CA"/>
        </w:rPr>
        <w:t>and can be accessed at</w:t>
      </w:r>
      <w:r w:rsidR="00CD34AC" w:rsidRPr="006F48F8">
        <w:rPr>
          <w:lang w:val="en-US"/>
        </w:rPr>
        <w:t xml:space="preserve"> </w:t>
      </w:r>
      <w:hyperlink r:id="rId6" w:history="1">
        <w:r w:rsidRPr="006F48F8">
          <w:rPr>
            <w:rStyle w:val="Hyperlink"/>
          </w:rPr>
          <w:t>http://www.ags.gov.ab.ca/publications/abstracts/Map_601.html</w:t>
        </w:r>
      </w:hyperlink>
      <w:r w:rsidR="00CD34AC" w:rsidRPr="006F48F8">
        <w:rPr>
          <w:color w:val="1F497D"/>
        </w:rPr>
        <w:t>.</w:t>
      </w:r>
    </w:p>
    <w:p w:rsidR="00CD7AFC" w:rsidRPr="006F48F8" w:rsidRDefault="00CD7AFC" w:rsidP="007C4D07">
      <w:pPr>
        <w:spacing w:after="0" w:line="240" w:lineRule="auto"/>
        <w:rPr>
          <w:lang w:val="en-US"/>
        </w:rPr>
      </w:pPr>
    </w:p>
    <w:p w:rsidR="00CD7AFC" w:rsidRPr="006F48F8" w:rsidRDefault="00CD7AFC" w:rsidP="007C4D07">
      <w:pPr>
        <w:spacing w:after="0" w:line="240" w:lineRule="auto"/>
        <w:rPr>
          <w:lang w:val="en-US"/>
        </w:rPr>
      </w:pPr>
      <w:r>
        <w:rPr>
          <w:i/>
          <w:u w:val="single"/>
          <w:lang w:val="en-US"/>
        </w:rPr>
        <w:t>Bedrock Geology</w:t>
      </w:r>
      <w:r w:rsidR="00F272A1">
        <w:rPr>
          <w:i/>
          <w:u w:val="single"/>
          <w:lang w:val="en-US"/>
        </w:rPr>
        <w:t xml:space="preserve"> of Alberta</w:t>
      </w:r>
    </w:p>
    <w:p w:rsidR="007C4D07" w:rsidRDefault="007C4D07" w:rsidP="007C4D07">
      <w:pPr>
        <w:spacing w:after="0" w:line="240" w:lineRule="auto"/>
        <w:rPr>
          <w:color w:val="1F497D"/>
        </w:rPr>
      </w:pPr>
      <w:r w:rsidRPr="00727FE0">
        <w:rPr>
          <w:rFonts w:eastAsia="Times New Roman" w:cs="Times New Roman"/>
          <w:lang w:eastAsia="en-CA"/>
        </w:rPr>
        <w:t xml:space="preserve">This </w:t>
      </w:r>
      <w:r w:rsidRPr="006F48F8">
        <w:rPr>
          <w:rFonts w:eastAsia="Times New Roman" w:cs="Times New Roman"/>
          <w:lang w:eastAsia="en-CA"/>
        </w:rPr>
        <w:t>GIS layer</w:t>
      </w:r>
      <w:r w:rsidRPr="00727FE0">
        <w:rPr>
          <w:rFonts w:eastAsia="Times New Roman" w:cs="Times New Roman"/>
          <w:lang w:eastAsia="en-CA"/>
        </w:rPr>
        <w:t xml:space="preserve"> </w:t>
      </w:r>
      <w:r w:rsidRPr="006F48F8">
        <w:rPr>
          <w:rFonts w:eastAsia="Times New Roman" w:cs="Times New Roman"/>
          <w:lang w:eastAsia="en-CA"/>
        </w:rPr>
        <w:t>is</w:t>
      </w:r>
      <w:r w:rsidRPr="00727FE0">
        <w:rPr>
          <w:rFonts w:eastAsia="Times New Roman" w:cs="Times New Roman"/>
          <w:lang w:eastAsia="en-CA"/>
        </w:rPr>
        <w:t xml:space="preserve"> a generalized compilation </w:t>
      </w:r>
      <w:r w:rsidRPr="007C4D07">
        <w:rPr>
          <w:rFonts w:eastAsia="Times New Roman" w:cs="Times New Roman"/>
          <w:lang w:eastAsia="en-CA"/>
        </w:rPr>
        <w:t xml:space="preserve">of existing geological maps and original geological mapping by </w:t>
      </w:r>
      <w:r>
        <w:rPr>
          <w:rFonts w:eastAsia="Times New Roman" w:cs="Times New Roman"/>
          <w:lang w:eastAsia="en-CA"/>
        </w:rPr>
        <w:t xml:space="preserve">Alberta Geological Survey </w:t>
      </w:r>
      <w:r w:rsidRPr="007C4D07">
        <w:rPr>
          <w:rFonts w:eastAsia="Times New Roman" w:cs="Times New Roman"/>
          <w:lang w:eastAsia="en-CA"/>
        </w:rPr>
        <w:t>staff. Mapping included field observations and creating three-dimensional models of subsurface stratigraphy based on the interpretation of geophysical logs from oil and gas wells. Each three-dimensional formation surface was projected to a model of the bedrock surface and the intersection formed the first approximation of the position of the geological contact at the base of the surficial deposits. These preliminary contacts were then adjusted to honour outcrop data and the interpretation of the bedrock unit immediately below surficial deposits in individual wells</w:t>
      </w:r>
      <w:r>
        <w:rPr>
          <w:rFonts w:eastAsia="Times New Roman" w:cs="Times New Roman"/>
          <w:lang w:eastAsia="en-CA"/>
        </w:rPr>
        <w:t>.</w:t>
      </w:r>
      <w:r w:rsidRPr="007C4D07">
        <w:rPr>
          <w:rFonts w:eastAsia="Times New Roman" w:cs="Times New Roman"/>
          <w:lang w:val="en" w:eastAsia="en-CA"/>
        </w:rPr>
        <w:t xml:space="preserve"> </w:t>
      </w:r>
      <w:r w:rsidRPr="006F48F8">
        <w:rPr>
          <w:rFonts w:eastAsia="Times New Roman" w:cs="Times New Roman"/>
          <w:lang w:val="en" w:eastAsia="en-CA"/>
        </w:rPr>
        <w:t>This GIS layer was created</w:t>
      </w:r>
      <w:r w:rsidRPr="00727FE0">
        <w:rPr>
          <w:rFonts w:eastAsia="Times New Roman" w:cs="Times New Roman"/>
          <w:lang w:val="en" w:eastAsia="en-CA"/>
        </w:rPr>
        <w:t xml:space="preserve"> at a scale of </w:t>
      </w:r>
      <w:r w:rsidRPr="006F48F8">
        <w:rPr>
          <w:rFonts w:eastAsia="Times New Roman" w:cs="Times New Roman"/>
          <w:lang w:eastAsia="en-CA"/>
        </w:rPr>
        <w:t>1:1,</w:t>
      </w:r>
      <w:r w:rsidRPr="00727FE0">
        <w:rPr>
          <w:rFonts w:eastAsia="Times New Roman" w:cs="Times New Roman"/>
          <w:lang w:eastAsia="en-CA"/>
        </w:rPr>
        <w:t>000</w:t>
      </w:r>
      <w:r w:rsidRPr="006F48F8">
        <w:rPr>
          <w:rFonts w:eastAsia="Times New Roman" w:cs="Times New Roman"/>
          <w:lang w:eastAsia="en-CA"/>
        </w:rPr>
        <w:t>,</w:t>
      </w:r>
      <w:r w:rsidRPr="00727FE0">
        <w:rPr>
          <w:rFonts w:eastAsia="Times New Roman" w:cs="Times New Roman"/>
          <w:lang w:eastAsia="en-CA"/>
        </w:rPr>
        <w:t xml:space="preserve">000 </w:t>
      </w:r>
      <w:r w:rsidRPr="006F48F8">
        <w:rPr>
          <w:rFonts w:eastAsia="Times New Roman" w:cs="Times New Roman"/>
          <w:lang w:val="en" w:eastAsia="en-CA"/>
        </w:rPr>
        <w:t>and can be accessed at</w:t>
      </w:r>
      <w:r w:rsidRPr="006F48F8">
        <w:rPr>
          <w:lang w:val="en-US"/>
        </w:rPr>
        <w:t xml:space="preserve"> </w:t>
      </w:r>
      <w:hyperlink r:id="rId7" w:history="1">
        <w:r>
          <w:rPr>
            <w:rStyle w:val="Hyperlink"/>
          </w:rPr>
          <w:t>http://www.ags.gov.ab.ca/publications/abstracts/MAP_600.html</w:t>
        </w:r>
      </w:hyperlink>
    </w:p>
    <w:p w:rsidR="00CD7AFC" w:rsidRPr="007C4D07" w:rsidRDefault="00CD7AFC" w:rsidP="007C4D07">
      <w:pPr>
        <w:spacing w:after="0" w:line="240" w:lineRule="auto"/>
        <w:rPr>
          <w:lang w:val="en-US"/>
        </w:rPr>
      </w:pPr>
    </w:p>
    <w:p w:rsidR="0082751C" w:rsidRPr="006F48F8" w:rsidRDefault="00727FE0" w:rsidP="007C4D07">
      <w:pPr>
        <w:spacing w:after="0" w:line="240" w:lineRule="auto"/>
        <w:rPr>
          <w:lang w:val="en-US"/>
        </w:rPr>
      </w:pPr>
      <w:r w:rsidRPr="006F48F8">
        <w:rPr>
          <w:i/>
          <w:u w:val="single"/>
          <w:lang w:val="en-US"/>
        </w:rPr>
        <w:t>Soil Landscapes of Canada</w:t>
      </w:r>
    </w:p>
    <w:p w:rsidR="00727FE0" w:rsidRPr="00727FE0" w:rsidRDefault="00727FE0" w:rsidP="007C4D07">
      <w:pPr>
        <w:spacing w:after="0" w:line="240" w:lineRule="auto"/>
        <w:rPr>
          <w:rFonts w:eastAsia="Times New Roman" w:cs="Times New Roman"/>
          <w:lang w:val="en" w:eastAsia="en-CA"/>
        </w:rPr>
      </w:pPr>
      <w:r w:rsidRPr="006F48F8">
        <w:rPr>
          <w:lang w:val="en-US"/>
        </w:rPr>
        <w:t>Soil Landscapes of Canada</w:t>
      </w:r>
      <w:r w:rsidRPr="00727FE0">
        <w:rPr>
          <w:rFonts w:eastAsia="Times New Roman" w:cs="Times New Roman"/>
          <w:lang w:val="en" w:eastAsia="en-CA"/>
        </w:rPr>
        <w:t xml:space="preserve"> version 3.2 was developed by Agriculture and </w:t>
      </w:r>
      <w:proofErr w:type="spellStart"/>
      <w:r w:rsidRPr="00727FE0">
        <w:rPr>
          <w:rFonts w:eastAsia="Times New Roman" w:cs="Times New Roman"/>
          <w:lang w:val="en" w:eastAsia="en-CA"/>
        </w:rPr>
        <w:t>Agri</w:t>
      </w:r>
      <w:proofErr w:type="spellEnd"/>
      <w:r w:rsidRPr="00727FE0">
        <w:rPr>
          <w:rFonts w:eastAsia="Times New Roman" w:cs="Times New Roman"/>
          <w:lang w:val="en" w:eastAsia="en-CA"/>
        </w:rPr>
        <w:t xml:space="preserve">-Food Canada to provide information about the country's agricultural soils at the provincial and national levels. </w:t>
      </w:r>
      <w:r w:rsidRPr="006F48F8">
        <w:rPr>
          <w:rFonts w:eastAsia="Times New Roman" w:cs="Times New Roman"/>
          <w:lang w:val="en" w:eastAsia="en-CA"/>
        </w:rPr>
        <w:t>This GIS layer was created</w:t>
      </w:r>
      <w:r w:rsidRPr="00727FE0">
        <w:rPr>
          <w:rFonts w:eastAsia="Times New Roman" w:cs="Times New Roman"/>
          <w:lang w:val="en" w:eastAsia="en-CA"/>
        </w:rPr>
        <w:t xml:space="preserve"> at a scale of </w:t>
      </w:r>
      <w:r w:rsidR="00CD34AC" w:rsidRPr="006F48F8">
        <w:rPr>
          <w:rFonts w:eastAsia="Times New Roman" w:cs="Times New Roman"/>
          <w:lang w:eastAsia="en-CA"/>
        </w:rPr>
        <w:t>1:1,</w:t>
      </w:r>
      <w:r w:rsidR="00CD34AC" w:rsidRPr="00727FE0">
        <w:rPr>
          <w:rFonts w:eastAsia="Times New Roman" w:cs="Times New Roman"/>
          <w:lang w:eastAsia="en-CA"/>
        </w:rPr>
        <w:t>000</w:t>
      </w:r>
      <w:r w:rsidR="00CD34AC" w:rsidRPr="006F48F8">
        <w:rPr>
          <w:rFonts w:eastAsia="Times New Roman" w:cs="Times New Roman"/>
          <w:lang w:eastAsia="en-CA"/>
        </w:rPr>
        <w:t>,</w:t>
      </w:r>
      <w:r w:rsidR="00CD34AC" w:rsidRPr="00727FE0">
        <w:rPr>
          <w:rFonts w:eastAsia="Times New Roman" w:cs="Times New Roman"/>
          <w:lang w:eastAsia="en-CA"/>
        </w:rPr>
        <w:t xml:space="preserve">000 </w:t>
      </w:r>
      <w:r w:rsidR="006F48F8" w:rsidRPr="006F48F8">
        <w:rPr>
          <w:rFonts w:eastAsia="Times New Roman" w:cs="Times New Roman"/>
          <w:lang w:val="en" w:eastAsia="en-CA"/>
        </w:rPr>
        <w:t xml:space="preserve">and can be accessed at </w:t>
      </w:r>
      <w:hyperlink r:id="rId8" w:history="1">
        <w:r w:rsidRPr="006F48F8">
          <w:rPr>
            <w:rStyle w:val="Hyperlink"/>
          </w:rPr>
          <w:t>http://sis.agr.gc.ca/cansis/nsdb/slc/v3.2/index.html</w:t>
        </w:r>
      </w:hyperlink>
      <w:r w:rsidRPr="00727FE0">
        <w:rPr>
          <w:rFonts w:eastAsia="Times New Roman" w:cs="Times New Roman"/>
          <w:lang w:val="en" w:eastAsia="en-CA"/>
        </w:rPr>
        <w:t xml:space="preserve">. </w:t>
      </w:r>
    </w:p>
    <w:p w:rsidR="0082751C" w:rsidRPr="006F48F8" w:rsidRDefault="0082751C" w:rsidP="006F48F8">
      <w:pPr>
        <w:spacing w:after="0" w:line="240" w:lineRule="auto"/>
        <w:rPr>
          <w:lang w:val="en-US"/>
        </w:rPr>
      </w:pPr>
    </w:p>
    <w:p w:rsidR="0082751C" w:rsidRPr="00647A1C" w:rsidRDefault="00647A1C" w:rsidP="006F48F8">
      <w:pPr>
        <w:spacing w:after="0" w:line="240" w:lineRule="auto"/>
        <w:rPr>
          <w:i/>
          <w:u w:val="single"/>
          <w:lang w:val="en-US"/>
        </w:rPr>
      </w:pPr>
      <w:r w:rsidRPr="00647A1C">
        <w:rPr>
          <w:i/>
          <w:u w:val="single"/>
          <w:lang w:val="en-US"/>
        </w:rPr>
        <w:t>ABMI Soil Layer</w:t>
      </w:r>
      <w:r w:rsidRPr="00647A1C">
        <w:rPr>
          <w:i/>
          <w:u w:val="single"/>
          <w:lang w:val="en-US"/>
        </w:rPr>
        <w:t xml:space="preserve"> </w:t>
      </w:r>
    </w:p>
    <w:p w:rsidR="0032112E" w:rsidRPr="0032112E" w:rsidRDefault="006F48F8" w:rsidP="0032112E">
      <w:pPr>
        <w:spacing w:after="0" w:line="240" w:lineRule="auto"/>
        <w:rPr>
          <w:rFonts w:eastAsia="Times New Roman" w:cs="Times New Roman"/>
          <w:lang w:val="en" w:eastAsia="en-CA"/>
        </w:rPr>
      </w:pPr>
      <w:r w:rsidRPr="006F48F8">
        <w:t xml:space="preserve">The Agricultural Region of Alberta Soil Inventory Database </w:t>
      </w:r>
      <w:r w:rsidRPr="006F48F8">
        <w:t>(</w:t>
      </w:r>
      <w:r w:rsidRPr="006F48F8">
        <w:t>AGRASID</w:t>
      </w:r>
      <w:r w:rsidRPr="006F48F8">
        <w:t>)</w:t>
      </w:r>
      <w:r w:rsidRPr="006F48F8">
        <w:t xml:space="preserve"> was </w:t>
      </w:r>
      <w:r w:rsidRPr="006F48F8">
        <w:t xml:space="preserve">created by a </w:t>
      </w:r>
      <w:r w:rsidR="00647A1C">
        <w:t>collaboration</w:t>
      </w:r>
      <w:r w:rsidRPr="006F48F8">
        <w:t xml:space="preserve"> involving the Alberta Research Coun</w:t>
      </w:r>
      <w:r w:rsidRPr="006F48F8">
        <w:t>cil,</w:t>
      </w:r>
      <w:r w:rsidRPr="006F48F8">
        <w:t xml:space="preserve"> Alberta Agricul</w:t>
      </w:r>
      <w:r w:rsidRPr="006F48F8">
        <w:t>ture Food and Rural Development,</w:t>
      </w:r>
      <w:r w:rsidRPr="006F48F8">
        <w:t xml:space="preserve"> Agriculture and </w:t>
      </w:r>
      <w:proofErr w:type="spellStart"/>
      <w:r w:rsidRPr="006F48F8">
        <w:t>Agri</w:t>
      </w:r>
      <w:proofErr w:type="spellEnd"/>
      <w:r w:rsidRPr="006F48F8">
        <w:t>-Food Canada - Land Resource Unit, and private sector consulting firms</w:t>
      </w:r>
      <w:r w:rsidRPr="006F48F8">
        <w:t xml:space="preserve">. </w:t>
      </w:r>
      <w:r w:rsidR="00C009C7">
        <w:t>AGRASID</w:t>
      </w:r>
      <w:r w:rsidRPr="006F48F8">
        <w:t xml:space="preserve"> consists of seamless GIS coverages and relational data files </w:t>
      </w:r>
      <w:r w:rsidR="00C009C7">
        <w:t>that</w:t>
      </w:r>
      <w:r w:rsidRPr="006F48F8">
        <w:t xml:space="preserve"> </w:t>
      </w:r>
      <w:proofErr w:type="gramStart"/>
      <w:r w:rsidRPr="006F48F8">
        <w:t>describes</w:t>
      </w:r>
      <w:proofErr w:type="gramEnd"/>
      <w:r w:rsidRPr="006F48F8">
        <w:t xml:space="preserve"> the soil landscapes for the agricultural area of Alberta. The </w:t>
      </w:r>
      <w:r w:rsidR="0032112E">
        <w:t xml:space="preserve">AGRASID </w:t>
      </w:r>
      <w:r w:rsidRPr="006F48F8">
        <w:t>soil landscape polygons and attribute data we</w:t>
      </w:r>
      <w:r w:rsidRPr="006F48F8">
        <w:t xml:space="preserve">re compiled at a scale of 1:100,000 </w:t>
      </w:r>
      <w:r w:rsidRPr="006F48F8">
        <w:rPr>
          <w:rFonts w:eastAsia="Times New Roman" w:cs="Times New Roman"/>
          <w:lang w:val="en" w:eastAsia="en-CA"/>
        </w:rPr>
        <w:t>and can be accessed at</w:t>
      </w:r>
      <w:r w:rsidRPr="006F48F8">
        <w:rPr>
          <w:rFonts w:eastAsia="Times New Roman" w:cs="Times New Roman"/>
          <w:lang w:val="en" w:eastAsia="en-CA"/>
        </w:rPr>
        <w:t xml:space="preserve"> </w:t>
      </w:r>
      <w:hyperlink r:id="rId9" w:history="1">
        <w:r w:rsidR="0032112E" w:rsidRPr="0052212C">
          <w:rPr>
            <w:rStyle w:val="Hyperlink"/>
          </w:rPr>
          <w:t>http://www1.agric.gov.ab.ca/$Department/deptdocs.nsf/All/sag14653</w:t>
        </w:r>
      </w:hyperlink>
      <w:r w:rsidR="0032112E">
        <w:t>.</w:t>
      </w:r>
    </w:p>
    <w:p w:rsidR="009A7D62" w:rsidRDefault="009A7D62" w:rsidP="006F48F8">
      <w:pPr>
        <w:spacing w:after="0" w:line="240" w:lineRule="auto"/>
        <w:rPr>
          <w:rFonts w:eastAsia="Times New Roman" w:cs="Times New Roman"/>
          <w:lang w:val="en" w:eastAsia="en-CA"/>
        </w:rPr>
      </w:pPr>
    </w:p>
    <w:p w:rsidR="009A7D62" w:rsidRPr="006F48F8" w:rsidRDefault="009A7D62" w:rsidP="006F48F8">
      <w:pPr>
        <w:spacing w:after="0" w:line="240" w:lineRule="auto"/>
      </w:pPr>
      <w:r>
        <w:rPr>
          <w:lang w:val="en-US"/>
        </w:rPr>
        <w:t>To enhance AGRASID</w:t>
      </w:r>
      <w:r>
        <w:rPr>
          <w:lang w:val="en-US"/>
        </w:rPr>
        <w:t xml:space="preserve"> </w:t>
      </w:r>
      <w:r w:rsidRPr="006F48F8">
        <w:rPr>
          <w:lang w:val="en-US"/>
        </w:rPr>
        <w:t>for some counties in southern</w:t>
      </w:r>
      <w:r>
        <w:rPr>
          <w:lang w:val="en-US"/>
        </w:rPr>
        <w:t xml:space="preserve"> Alberta, t</w:t>
      </w:r>
      <w:r w:rsidRPr="006F48F8">
        <w:rPr>
          <w:lang w:val="en-US"/>
        </w:rPr>
        <w:t xml:space="preserve">he Government of Alberta </w:t>
      </w:r>
      <w:r>
        <w:rPr>
          <w:lang w:val="en-US"/>
        </w:rPr>
        <w:t xml:space="preserve">created </w:t>
      </w:r>
      <w:r>
        <w:rPr>
          <w:lang w:val="en-US"/>
        </w:rPr>
        <w:t xml:space="preserve"> </w:t>
      </w:r>
      <w:r>
        <w:rPr>
          <w:lang w:val="en-US"/>
        </w:rPr>
        <w:t xml:space="preserve">a soil polygon layer </w:t>
      </w:r>
      <w:r>
        <w:rPr>
          <w:lang w:val="en-US"/>
        </w:rPr>
        <w:t>that has</w:t>
      </w:r>
      <w:r w:rsidRPr="006F48F8">
        <w:rPr>
          <w:lang w:val="en-US"/>
        </w:rPr>
        <w:t xml:space="preserve"> </w:t>
      </w:r>
      <w:r>
        <w:rPr>
          <w:lang w:val="en-US"/>
        </w:rPr>
        <w:t>less detail</w:t>
      </w:r>
      <w:r w:rsidRPr="006F48F8">
        <w:rPr>
          <w:lang w:val="en-US"/>
        </w:rPr>
        <w:t>, but higher spatial resolution (scale 1:50,000</w:t>
      </w:r>
      <w:r>
        <w:rPr>
          <w:lang w:val="en-US"/>
        </w:rPr>
        <w:t xml:space="preserve"> for GOA </w:t>
      </w:r>
      <w:r>
        <w:rPr>
          <w:lang w:val="en-US"/>
        </w:rPr>
        <w:t>higher resolution layer [</w:t>
      </w:r>
      <w:r>
        <w:rPr>
          <w:lang w:val="en-US"/>
        </w:rPr>
        <w:t>unpublished</w:t>
      </w:r>
      <w:r>
        <w:rPr>
          <w:lang w:val="en-US"/>
        </w:rPr>
        <w:t xml:space="preserve"> information]</w:t>
      </w:r>
      <w:r>
        <w:rPr>
          <w:lang w:val="en-US"/>
        </w:rPr>
        <w:t xml:space="preserve"> versus 1:100,000 for AGRASID). The</w:t>
      </w:r>
      <w:r w:rsidRPr="006F48F8">
        <w:rPr>
          <w:lang w:val="en-US"/>
        </w:rPr>
        <w:t xml:space="preserve"> higher resolution info</w:t>
      </w:r>
      <w:r w:rsidR="00C009C7">
        <w:rPr>
          <w:lang w:val="en-US"/>
        </w:rPr>
        <w:t>rmation was interpreted based from remote</w:t>
      </w:r>
      <w:r w:rsidRPr="006F48F8">
        <w:rPr>
          <w:lang w:val="en-US"/>
        </w:rPr>
        <w:t xml:space="preserve"> sensed images with little </w:t>
      </w:r>
      <w:r>
        <w:rPr>
          <w:lang w:val="en-US"/>
        </w:rPr>
        <w:t xml:space="preserve">or no ground </w:t>
      </w:r>
      <w:proofErr w:type="spellStart"/>
      <w:r>
        <w:rPr>
          <w:lang w:val="en-US"/>
        </w:rPr>
        <w:t>truthing</w:t>
      </w:r>
      <w:proofErr w:type="spellEnd"/>
      <w:r>
        <w:rPr>
          <w:lang w:val="en-US"/>
        </w:rPr>
        <w:t>.</w:t>
      </w:r>
      <w:r>
        <w:rPr>
          <w:lang w:val="en-US"/>
        </w:rPr>
        <w:t xml:space="preserve"> </w:t>
      </w:r>
    </w:p>
    <w:p w:rsidR="006F48F8" w:rsidRPr="006F48F8" w:rsidRDefault="006F48F8" w:rsidP="006F48F8">
      <w:pPr>
        <w:spacing w:after="0" w:line="240" w:lineRule="auto"/>
        <w:rPr>
          <w:lang w:val="en-US"/>
        </w:rPr>
      </w:pPr>
    </w:p>
    <w:p w:rsidR="00445BA6" w:rsidRPr="006F48F8" w:rsidRDefault="0082751C" w:rsidP="006F48F8">
      <w:pPr>
        <w:spacing w:after="0" w:line="240" w:lineRule="auto"/>
        <w:rPr>
          <w:lang w:val="en-US"/>
        </w:rPr>
      </w:pPr>
      <w:r w:rsidRPr="006F48F8">
        <w:rPr>
          <w:lang w:val="en-US"/>
        </w:rPr>
        <w:t xml:space="preserve">ABMI created a </w:t>
      </w:r>
      <w:r w:rsidR="00647A1C">
        <w:rPr>
          <w:lang w:val="en-US"/>
        </w:rPr>
        <w:t xml:space="preserve">simplified </w:t>
      </w:r>
      <w:r w:rsidRPr="006F48F8">
        <w:rPr>
          <w:lang w:val="en-US"/>
        </w:rPr>
        <w:t>GIS</w:t>
      </w:r>
      <w:r w:rsidR="009E5B4A" w:rsidRPr="006F48F8">
        <w:rPr>
          <w:lang w:val="en-US"/>
        </w:rPr>
        <w:t xml:space="preserve"> polygon</w:t>
      </w:r>
      <w:r w:rsidRPr="006F48F8">
        <w:rPr>
          <w:lang w:val="en-US"/>
        </w:rPr>
        <w:t xml:space="preserve"> layer</w:t>
      </w:r>
      <w:r w:rsidR="009E5B4A" w:rsidRPr="006F48F8">
        <w:rPr>
          <w:lang w:val="en-US"/>
        </w:rPr>
        <w:t xml:space="preserve"> </w:t>
      </w:r>
      <w:r w:rsidR="0002463E" w:rsidRPr="006F48F8">
        <w:rPr>
          <w:lang w:val="en-US"/>
        </w:rPr>
        <w:t>to</w:t>
      </w:r>
      <w:r w:rsidRPr="006F48F8">
        <w:rPr>
          <w:lang w:val="en-US"/>
        </w:rPr>
        <w:t xml:space="preserve"> describe</w:t>
      </w:r>
      <w:r w:rsidR="00D20DBC" w:rsidRPr="006F48F8">
        <w:rPr>
          <w:lang w:val="en-US"/>
        </w:rPr>
        <w:t xml:space="preserve"> </w:t>
      </w:r>
      <w:r w:rsidR="009A7D62">
        <w:rPr>
          <w:lang w:val="en-US"/>
        </w:rPr>
        <w:t xml:space="preserve">general </w:t>
      </w:r>
      <w:r w:rsidR="00C009C7">
        <w:rPr>
          <w:lang w:val="en-US"/>
        </w:rPr>
        <w:t xml:space="preserve">soil </w:t>
      </w:r>
      <w:r w:rsidR="00D20DBC" w:rsidRPr="006F48F8">
        <w:rPr>
          <w:lang w:val="en-US"/>
        </w:rPr>
        <w:t xml:space="preserve">characteristics </w:t>
      </w:r>
      <w:r w:rsidR="009E5B4A" w:rsidRPr="006F48F8">
        <w:rPr>
          <w:lang w:val="en-US"/>
        </w:rPr>
        <w:t>throughou</w:t>
      </w:r>
      <w:r w:rsidR="00445BA6" w:rsidRPr="006F48F8">
        <w:rPr>
          <w:lang w:val="en-US"/>
        </w:rPr>
        <w:t>t</w:t>
      </w:r>
      <w:r w:rsidR="009E5B4A" w:rsidRPr="006F48F8">
        <w:rPr>
          <w:lang w:val="en-US"/>
        </w:rPr>
        <w:t xml:space="preserve"> the Grassland, Parkland and Dry </w:t>
      </w:r>
      <w:proofErr w:type="spellStart"/>
      <w:r w:rsidR="009E5B4A" w:rsidRPr="006F48F8">
        <w:rPr>
          <w:lang w:val="en-US"/>
        </w:rPr>
        <w:t>Mixedwood</w:t>
      </w:r>
      <w:proofErr w:type="spellEnd"/>
      <w:r w:rsidR="009E5B4A" w:rsidRPr="006F48F8">
        <w:rPr>
          <w:lang w:val="en-US"/>
        </w:rPr>
        <w:t xml:space="preserve"> regions</w:t>
      </w:r>
      <w:r w:rsidR="00C009C7">
        <w:rPr>
          <w:lang w:val="en-US"/>
        </w:rPr>
        <w:t xml:space="preserve"> of Alberta</w:t>
      </w:r>
      <w:r w:rsidR="00D20DBC" w:rsidRPr="006F48F8">
        <w:rPr>
          <w:lang w:val="en-US"/>
        </w:rPr>
        <w:t xml:space="preserve">. </w:t>
      </w:r>
      <w:r w:rsidR="0002463E" w:rsidRPr="006F48F8">
        <w:rPr>
          <w:lang w:val="en-US"/>
        </w:rPr>
        <w:t>Based on</w:t>
      </w:r>
      <w:r w:rsidR="009C1F66" w:rsidRPr="006F48F8">
        <w:rPr>
          <w:lang w:val="en-US"/>
        </w:rPr>
        <w:t xml:space="preserve"> soil </w:t>
      </w:r>
      <w:r w:rsidR="009E5B4A" w:rsidRPr="006F48F8">
        <w:rPr>
          <w:lang w:val="en-US"/>
        </w:rPr>
        <w:t>name</w:t>
      </w:r>
      <w:r w:rsidR="009C1F66" w:rsidRPr="006F48F8">
        <w:rPr>
          <w:lang w:val="en-US"/>
        </w:rPr>
        <w:t xml:space="preserve"> and soil correlation area </w:t>
      </w:r>
      <w:r w:rsidR="009E5B4A" w:rsidRPr="006F48F8">
        <w:rPr>
          <w:lang w:val="en-US"/>
        </w:rPr>
        <w:t>from AGRAS</w:t>
      </w:r>
      <w:r w:rsidR="0002463E" w:rsidRPr="006F48F8">
        <w:rPr>
          <w:lang w:val="en-US"/>
        </w:rPr>
        <w:t xml:space="preserve">ID, ABMI </w:t>
      </w:r>
      <w:r w:rsidR="009E5B4A" w:rsidRPr="006F48F8">
        <w:rPr>
          <w:lang w:val="en-US"/>
        </w:rPr>
        <w:t xml:space="preserve">classified </w:t>
      </w:r>
      <w:r w:rsidR="00C009C7">
        <w:rPr>
          <w:lang w:val="en-US"/>
        </w:rPr>
        <w:t>polygons</w:t>
      </w:r>
      <w:r w:rsidR="009E5B4A" w:rsidRPr="006F48F8">
        <w:rPr>
          <w:lang w:val="en-US"/>
        </w:rPr>
        <w:t xml:space="preserve"> to </w:t>
      </w:r>
      <w:r w:rsidR="0002463E" w:rsidRPr="006F48F8">
        <w:rPr>
          <w:lang w:val="en-US"/>
        </w:rPr>
        <w:t xml:space="preserve">the </w:t>
      </w:r>
      <w:r w:rsidR="00DD6FAF" w:rsidRPr="006F48F8">
        <w:rPr>
          <w:lang w:val="en-US"/>
        </w:rPr>
        <w:t>24</w:t>
      </w:r>
      <w:r w:rsidR="0002463E" w:rsidRPr="006F48F8">
        <w:rPr>
          <w:lang w:val="en-US"/>
        </w:rPr>
        <w:t xml:space="preserve"> </w:t>
      </w:r>
      <w:r w:rsidR="00647A1C">
        <w:rPr>
          <w:lang w:val="en-US"/>
        </w:rPr>
        <w:t xml:space="preserve">natural soil </w:t>
      </w:r>
      <w:r w:rsidR="009C1F66" w:rsidRPr="006F48F8">
        <w:rPr>
          <w:lang w:val="en-US"/>
        </w:rPr>
        <w:t>types</w:t>
      </w:r>
      <w:r w:rsidR="008247A4" w:rsidRPr="006F48F8">
        <w:rPr>
          <w:lang w:val="en-US"/>
        </w:rPr>
        <w:t xml:space="preserve"> used by GVI (Table 1).</w:t>
      </w:r>
      <w:r w:rsidR="009C1F66" w:rsidRPr="006F48F8">
        <w:rPr>
          <w:lang w:val="en-US"/>
        </w:rPr>
        <w:t xml:space="preserve"> </w:t>
      </w:r>
      <w:r w:rsidR="00DD6FAF" w:rsidRPr="006F48F8">
        <w:rPr>
          <w:lang w:val="en-US"/>
        </w:rPr>
        <w:t xml:space="preserve">The crosswalks used to convert </w:t>
      </w:r>
      <w:r w:rsidR="008247A4" w:rsidRPr="006F48F8">
        <w:rPr>
          <w:lang w:val="en-US"/>
        </w:rPr>
        <w:t xml:space="preserve">AGRASID </w:t>
      </w:r>
      <w:r w:rsidR="00DD6FAF" w:rsidRPr="006F48F8">
        <w:rPr>
          <w:lang w:val="en-US"/>
        </w:rPr>
        <w:t xml:space="preserve">information to </w:t>
      </w:r>
      <w:r w:rsidR="008247A4" w:rsidRPr="006F48F8">
        <w:rPr>
          <w:lang w:val="en-US"/>
        </w:rPr>
        <w:t>GVI soil type</w:t>
      </w:r>
      <w:r w:rsidR="009A7D62">
        <w:rPr>
          <w:lang w:val="en-US"/>
        </w:rPr>
        <w:t xml:space="preserve"> are described in</w:t>
      </w:r>
      <w:r w:rsidR="00445BA6" w:rsidRPr="006F48F8">
        <w:rPr>
          <w:lang w:val="en-US"/>
        </w:rPr>
        <w:t xml:space="preserve"> Excel tables (</w:t>
      </w:r>
      <w:commentRangeStart w:id="0"/>
      <w:r w:rsidR="00445BA6" w:rsidRPr="006F48F8">
        <w:rPr>
          <w:lang w:val="en-US"/>
        </w:rPr>
        <w:t xml:space="preserve">Grassland 2012, Parkland 2012, </w:t>
      </w:r>
      <w:proofErr w:type="gramStart"/>
      <w:r w:rsidR="00445BA6" w:rsidRPr="006F48F8">
        <w:rPr>
          <w:lang w:val="en-US"/>
        </w:rPr>
        <w:t>Dry</w:t>
      </w:r>
      <w:proofErr w:type="gramEnd"/>
      <w:r w:rsidR="00445BA6" w:rsidRPr="006F48F8">
        <w:rPr>
          <w:lang w:val="en-US"/>
        </w:rPr>
        <w:t xml:space="preserve"> </w:t>
      </w:r>
      <w:proofErr w:type="spellStart"/>
      <w:r w:rsidR="00445BA6" w:rsidRPr="006F48F8">
        <w:rPr>
          <w:lang w:val="en-US"/>
        </w:rPr>
        <w:t>Mixedwood</w:t>
      </w:r>
      <w:proofErr w:type="spellEnd"/>
      <w:r w:rsidR="00445BA6" w:rsidRPr="006F48F8">
        <w:rPr>
          <w:lang w:val="en-US"/>
        </w:rPr>
        <w:t xml:space="preserve"> 2013</w:t>
      </w:r>
      <w:commentRangeEnd w:id="0"/>
      <w:r w:rsidR="00445BA6" w:rsidRPr="006F48F8">
        <w:rPr>
          <w:rStyle w:val="CommentReference"/>
          <w:sz w:val="22"/>
          <w:szCs w:val="22"/>
        </w:rPr>
        <w:commentReference w:id="0"/>
      </w:r>
      <w:r w:rsidR="00445BA6" w:rsidRPr="006F48F8">
        <w:rPr>
          <w:lang w:val="en-US"/>
        </w:rPr>
        <w:t>).</w:t>
      </w:r>
      <w:r w:rsidR="00092375" w:rsidRPr="006F48F8">
        <w:rPr>
          <w:lang w:val="en-US"/>
        </w:rPr>
        <w:t xml:space="preserve"> </w:t>
      </w:r>
      <w:r w:rsidR="00CD7AFC">
        <w:rPr>
          <w:lang w:val="en-US"/>
        </w:rPr>
        <w:t>For the</w:t>
      </w:r>
      <w:r w:rsidR="00647E2F" w:rsidRPr="006F48F8">
        <w:rPr>
          <w:lang w:val="en-US"/>
        </w:rPr>
        <w:t xml:space="preserve"> counties</w:t>
      </w:r>
      <w:r w:rsidR="009A7D62">
        <w:rPr>
          <w:lang w:val="en-US"/>
        </w:rPr>
        <w:t xml:space="preserve"> with</w:t>
      </w:r>
      <w:r w:rsidR="008247A4" w:rsidRPr="006F48F8">
        <w:rPr>
          <w:lang w:val="en-US"/>
        </w:rPr>
        <w:t xml:space="preserve"> </w:t>
      </w:r>
      <w:r w:rsidR="00DD6FAF" w:rsidRPr="006F48F8">
        <w:rPr>
          <w:lang w:val="en-US"/>
        </w:rPr>
        <w:t>higher resolution</w:t>
      </w:r>
      <w:r w:rsidR="008247A4" w:rsidRPr="006F48F8">
        <w:rPr>
          <w:lang w:val="en-US"/>
        </w:rPr>
        <w:t xml:space="preserve"> information, </w:t>
      </w:r>
      <w:r w:rsidR="00CD7AFC">
        <w:rPr>
          <w:lang w:val="en-US"/>
        </w:rPr>
        <w:t xml:space="preserve">that information </w:t>
      </w:r>
      <w:r w:rsidR="008247A4" w:rsidRPr="006F48F8">
        <w:rPr>
          <w:lang w:val="en-US"/>
        </w:rPr>
        <w:t>rather than ARGASID</w:t>
      </w:r>
      <w:r w:rsidR="002E5D3C" w:rsidRPr="006F48F8">
        <w:rPr>
          <w:lang w:val="en-US"/>
        </w:rPr>
        <w:t xml:space="preserve"> information</w:t>
      </w:r>
      <w:r w:rsidR="008247A4" w:rsidRPr="006F48F8">
        <w:rPr>
          <w:lang w:val="en-US"/>
        </w:rPr>
        <w:t xml:space="preserve">, was used </w:t>
      </w:r>
      <w:r w:rsidR="002E5D3C" w:rsidRPr="006F48F8">
        <w:rPr>
          <w:lang w:val="en-US"/>
        </w:rPr>
        <w:t xml:space="preserve">to create the ABMI soil layer. </w:t>
      </w:r>
    </w:p>
    <w:p w:rsidR="00445BA6" w:rsidRPr="006F48F8" w:rsidRDefault="00445BA6" w:rsidP="006F48F8">
      <w:pPr>
        <w:spacing w:after="0" w:line="240" w:lineRule="auto"/>
        <w:rPr>
          <w:lang w:val="en-US"/>
        </w:rPr>
      </w:pPr>
    </w:p>
    <w:p w:rsidR="00A9619C" w:rsidRPr="006F48F8" w:rsidRDefault="00092375" w:rsidP="006F48F8">
      <w:pPr>
        <w:spacing w:after="0" w:line="240" w:lineRule="auto"/>
        <w:rPr>
          <w:lang w:val="en-US"/>
        </w:rPr>
      </w:pPr>
      <w:r w:rsidRPr="006F48F8">
        <w:rPr>
          <w:lang w:val="en-US"/>
        </w:rPr>
        <w:t>O</w:t>
      </w:r>
      <w:r w:rsidR="002E19C4" w:rsidRPr="006F48F8">
        <w:rPr>
          <w:lang w:val="en-US"/>
        </w:rPr>
        <w:t>nly natural</w:t>
      </w:r>
      <w:r w:rsidR="009C1F66" w:rsidRPr="006F48F8">
        <w:rPr>
          <w:lang w:val="en-US"/>
        </w:rPr>
        <w:t xml:space="preserve"> soil types were </w:t>
      </w:r>
      <w:r w:rsidR="001C1236" w:rsidRPr="006F48F8">
        <w:rPr>
          <w:lang w:val="en-US"/>
        </w:rPr>
        <w:t>included</w:t>
      </w:r>
      <w:r w:rsidRPr="006F48F8">
        <w:rPr>
          <w:lang w:val="en-US"/>
        </w:rPr>
        <w:t xml:space="preserve"> In the ABMI’s soil layer</w:t>
      </w:r>
      <w:r w:rsidR="001C1236" w:rsidRPr="006F48F8">
        <w:rPr>
          <w:lang w:val="en-US"/>
        </w:rPr>
        <w:t>. F</w:t>
      </w:r>
      <w:r w:rsidR="002E19C4" w:rsidRPr="006F48F8">
        <w:rPr>
          <w:lang w:val="en-US"/>
        </w:rPr>
        <w:t>or</w:t>
      </w:r>
      <w:r w:rsidR="009C1F66" w:rsidRPr="006F48F8">
        <w:rPr>
          <w:lang w:val="en-US"/>
        </w:rPr>
        <w:t xml:space="preserve"> polygons </w:t>
      </w:r>
      <w:r w:rsidRPr="006F48F8">
        <w:rPr>
          <w:lang w:val="en-US"/>
        </w:rPr>
        <w:t>where</w:t>
      </w:r>
      <w:r w:rsidR="00070B51" w:rsidRPr="006F48F8">
        <w:rPr>
          <w:lang w:val="en-US"/>
        </w:rPr>
        <w:t xml:space="preserve"> natural soil type</w:t>
      </w:r>
      <w:r w:rsidRPr="006F48F8">
        <w:rPr>
          <w:lang w:val="en-US"/>
        </w:rPr>
        <w:t xml:space="preserve"> was missing</w:t>
      </w:r>
      <w:r w:rsidR="009A7D62">
        <w:rPr>
          <w:lang w:val="en-US"/>
        </w:rPr>
        <w:t>, ABMI</w:t>
      </w:r>
      <w:r w:rsidR="00070B51" w:rsidRPr="006F48F8">
        <w:rPr>
          <w:lang w:val="en-US"/>
        </w:rPr>
        <w:t xml:space="preserve"> used historical information where possible</w:t>
      </w:r>
      <w:r w:rsidR="00445BA6" w:rsidRPr="006F48F8">
        <w:rPr>
          <w:lang w:val="en-US"/>
        </w:rPr>
        <w:t xml:space="preserve"> (</w:t>
      </w:r>
      <w:commentRangeStart w:id="1"/>
      <w:r w:rsidR="00445BA6" w:rsidRPr="006F48F8">
        <w:rPr>
          <w:lang w:val="en-US"/>
        </w:rPr>
        <w:t>McNeil 2014</w:t>
      </w:r>
      <w:commentRangeEnd w:id="1"/>
      <w:r w:rsidR="006B6DF6" w:rsidRPr="006F48F8">
        <w:rPr>
          <w:rStyle w:val="CommentReference"/>
          <w:sz w:val="22"/>
          <w:szCs w:val="22"/>
        </w:rPr>
        <w:commentReference w:id="1"/>
      </w:r>
      <w:r w:rsidR="00445BA6" w:rsidRPr="006F48F8">
        <w:rPr>
          <w:lang w:val="en-US"/>
        </w:rPr>
        <w:t>). When historical information was not available</w:t>
      </w:r>
      <w:r w:rsidR="00070B51" w:rsidRPr="006F48F8">
        <w:rPr>
          <w:lang w:val="en-US"/>
        </w:rPr>
        <w:t xml:space="preserve"> </w:t>
      </w:r>
      <w:r w:rsidR="009A7D62">
        <w:rPr>
          <w:lang w:val="en-US"/>
        </w:rPr>
        <w:t>ABMI</w:t>
      </w:r>
      <w:r w:rsidR="00070B51" w:rsidRPr="006F48F8">
        <w:rPr>
          <w:lang w:val="en-US"/>
        </w:rPr>
        <w:t xml:space="preserve"> used topography soil information from the surrounding area to assign </w:t>
      </w:r>
      <w:r w:rsidR="002E19C4" w:rsidRPr="006F48F8">
        <w:rPr>
          <w:lang w:val="en-US"/>
        </w:rPr>
        <w:t>natural</w:t>
      </w:r>
      <w:r w:rsidR="00445BA6" w:rsidRPr="006F48F8">
        <w:rPr>
          <w:lang w:val="en-US"/>
        </w:rPr>
        <w:t xml:space="preserve"> soil types</w:t>
      </w:r>
      <w:r w:rsidR="00070B51" w:rsidRPr="006F48F8">
        <w:rPr>
          <w:lang w:val="en-US"/>
        </w:rPr>
        <w:t xml:space="preserve">. </w:t>
      </w:r>
      <w:r w:rsidR="00A9619C">
        <w:rPr>
          <w:rFonts w:eastAsia="Times New Roman" w:cs="Times New Roman"/>
          <w:lang w:val="en" w:eastAsia="en-CA"/>
        </w:rPr>
        <w:t xml:space="preserve">The ABMI Soil layer </w:t>
      </w:r>
      <w:r w:rsidR="00A9619C" w:rsidRPr="006F48F8">
        <w:rPr>
          <w:rFonts w:eastAsia="Times New Roman" w:cs="Times New Roman"/>
          <w:lang w:val="en" w:eastAsia="en-CA"/>
        </w:rPr>
        <w:t>can be accessed at</w:t>
      </w:r>
      <w:r w:rsidR="00A9619C">
        <w:rPr>
          <w:rFonts w:eastAsia="Times New Roman" w:cs="Times New Roman"/>
          <w:lang w:val="en" w:eastAsia="en-CA"/>
        </w:rPr>
        <w:t xml:space="preserve"> (</w:t>
      </w:r>
      <w:r w:rsidR="00CF3AA7" w:rsidRPr="00CF3AA7">
        <w:rPr>
          <w:rFonts w:eastAsia="Times New Roman" w:cs="Times New Roman"/>
          <w:highlight w:val="yellow"/>
          <w:lang w:val="en" w:eastAsia="en-CA"/>
        </w:rPr>
        <w:t>Peter upload the GIS layer from Daiyuan and include URL here</w:t>
      </w:r>
      <w:r w:rsidR="00A9619C">
        <w:rPr>
          <w:rFonts w:eastAsia="Times New Roman" w:cs="Times New Roman"/>
          <w:lang w:val="en" w:eastAsia="en-CA"/>
        </w:rPr>
        <w:t>).</w:t>
      </w:r>
    </w:p>
    <w:p w:rsidR="0002463E" w:rsidRPr="006F48F8" w:rsidRDefault="0002463E" w:rsidP="006F48F8">
      <w:pPr>
        <w:spacing w:after="0" w:line="240" w:lineRule="auto"/>
        <w:rPr>
          <w:lang w:val="en-US"/>
        </w:rPr>
      </w:pPr>
    </w:p>
    <w:p w:rsidR="0082751C" w:rsidRPr="006F48F8" w:rsidRDefault="0002463E" w:rsidP="006F48F8">
      <w:pPr>
        <w:spacing w:after="0" w:line="240" w:lineRule="auto"/>
        <w:rPr>
          <w:lang w:val="en-US"/>
        </w:rPr>
      </w:pPr>
      <w:proofErr w:type="gramStart"/>
      <w:r w:rsidRPr="006F48F8">
        <w:rPr>
          <w:b/>
          <w:lang w:val="en-US"/>
        </w:rPr>
        <w:t>Table 1.</w:t>
      </w:r>
      <w:proofErr w:type="gramEnd"/>
      <w:r w:rsidRPr="006F48F8">
        <w:rPr>
          <w:lang w:val="en-US"/>
        </w:rPr>
        <w:t xml:space="preserve"> </w:t>
      </w:r>
      <w:proofErr w:type="gramStart"/>
      <w:r w:rsidR="00DD6FAF" w:rsidRPr="006F48F8">
        <w:rPr>
          <w:lang w:val="en-US"/>
        </w:rPr>
        <w:t>Description of the 24 native land/soil cl</w:t>
      </w:r>
      <w:r w:rsidR="00CF3AA7">
        <w:rPr>
          <w:lang w:val="en-US"/>
        </w:rPr>
        <w:t>asses used by GVI, and mapped in the</w:t>
      </w:r>
      <w:r w:rsidR="00DD6FAF" w:rsidRPr="006F48F8">
        <w:rPr>
          <w:lang w:val="en-US"/>
        </w:rPr>
        <w:t xml:space="preserve"> ABMI</w:t>
      </w:r>
      <w:r w:rsidR="00CF3AA7">
        <w:rPr>
          <w:lang w:val="en-US"/>
        </w:rPr>
        <w:t xml:space="preserve"> Soil layer</w:t>
      </w:r>
      <w:bookmarkStart w:id="2" w:name="_GoBack"/>
      <w:bookmarkEnd w:id="2"/>
      <w:r w:rsidR="00DD6FAF" w:rsidRPr="006F48F8">
        <w:rPr>
          <w:lang w:val="en-US"/>
        </w:rPr>
        <w:t>.</w:t>
      </w:r>
      <w:proofErr w:type="gramEnd"/>
    </w:p>
    <w:tbl>
      <w:tblPr>
        <w:tblW w:w="9180" w:type="dxa"/>
        <w:tblInd w:w="143" w:type="dxa"/>
        <w:tblBorders>
          <w:top w:val="single" w:sz="2" w:space="0" w:color="000000"/>
          <w:left w:val="single" w:sz="2" w:space="0" w:color="000000"/>
          <w:bottom w:val="single" w:sz="2" w:space="0" w:color="000000"/>
          <w:right w:val="single" w:sz="2" w:space="0" w:color="000000"/>
        </w:tblBorders>
        <w:tblLayout w:type="fixed"/>
        <w:tblCellMar>
          <w:left w:w="143" w:type="dxa"/>
          <w:right w:w="143" w:type="dxa"/>
        </w:tblCellMar>
        <w:tblLook w:val="04A0" w:firstRow="1" w:lastRow="0" w:firstColumn="1" w:lastColumn="0" w:noHBand="0" w:noVBand="1"/>
      </w:tblPr>
      <w:tblGrid>
        <w:gridCol w:w="1080"/>
        <w:gridCol w:w="1080"/>
        <w:gridCol w:w="1260"/>
        <w:gridCol w:w="4770"/>
        <w:gridCol w:w="990"/>
      </w:tblGrid>
      <w:tr w:rsidR="0002463E" w:rsidRPr="00CD7AFC" w:rsidTr="0002463E">
        <w:trPr>
          <w:cantSplit/>
          <w:trHeight w:val="432"/>
          <w:tblHeader/>
        </w:trPr>
        <w:tc>
          <w:tcPr>
            <w:tcW w:w="1080" w:type="dxa"/>
            <w:tcBorders>
              <w:top w:val="single" w:sz="4" w:space="0" w:color="auto"/>
              <w:left w:val="single" w:sz="4" w:space="0" w:color="auto"/>
              <w:bottom w:val="single" w:sz="4" w:space="0" w:color="auto"/>
              <w:right w:val="single" w:sz="4" w:space="0" w:color="auto"/>
            </w:tcBorders>
            <w:shd w:val="clear" w:color="auto" w:fill="F3F3F3"/>
            <w:hideMark/>
          </w:tcPr>
          <w:p w:rsidR="0002463E" w:rsidRPr="00CD7AFC" w:rsidRDefault="0002463E" w:rsidP="006F48F8">
            <w:pPr>
              <w:suppressLineNumbers/>
              <w:tabs>
                <w:tab w:val="center" w:pos="4680"/>
                <w:tab w:val="right" w:pos="9000"/>
              </w:tabs>
              <w:autoSpaceDE w:val="0"/>
              <w:spacing w:after="0" w:line="240" w:lineRule="auto"/>
              <w:ind w:left="144"/>
              <w:jc w:val="center"/>
              <w:rPr>
                <w:b/>
                <w:color w:val="000000"/>
                <w:sz w:val="16"/>
                <w:szCs w:val="16"/>
                <w:lang w:val="en-US"/>
              </w:rPr>
            </w:pPr>
            <w:r w:rsidRPr="00CD7AFC">
              <w:rPr>
                <w:b/>
                <w:color w:val="000000"/>
                <w:sz w:val="16"/>
                <w:szCs w:val="16"/>
              </w:rPr>
              <w:t>Primary    Class</w:t>
            </w:r>
          </w:p>
        </w:tc>
        <w:tc>
          <w:tcPr>
            <w:tcW w:w="1080" w:type="dxa"/>
            <w:tcBorders>
              <w:top w:val="single" w:sz="4" w:space="0" w:color="auto"/>
              <w:left w:val="single" w:sz="4" w:space="0" w:color="auto"/>
              <w:bottom w:val="single" w:sz="4" w:space="0" w:color="auto"/>
              <w:right w:val="single" w:sz="4" w:space="0" w:color="auto"/>
            </w:tcBorders>
            <w:shd w:val="clear" w:color="auto" w:fill="F3F3F3"/>
            <w:hideMark/>
          </w:tcPr>
          <w:p w:rsidR="0002463E" w:rsidRPr="00CD7AFC" w:rsidRDefault="0002463E" w:rsidP="006F48F8">
            <w:pPr>
              <w:suppressLineNumbers/>
              <w:tabs>
                <w:tab w:val="center" w:pos="4680"/>
                <w:tab w:val="right" w:pos="9000"/>
              </w:tabs>
              <w:autoSpaceDE w:val="0"/>
              <w:spacing w:after="0" w:line="240" w:lineRule="auto"/>
              <w:ind w:left="144"/>
              <w:jc w:val="center"/>
              <w:rPr>
                <w:b/>
                <w:color w:val="000000"/>
                <w:sz w:val="16"/>
                <w:szCs w:val="16"/>
                <w:lang w:val="en-US"/>
              </w:rPr>
            </w:pPr>
            <w:r w:rsidRPr="00CD7AFC">
              <w:rPr>
                <w:b/>
                <w:color w:val="000000"/>
                <w:sz w:val="16"/>
                <w:szCs w:val="16"/>
              </w:rPr>
              <w:t>Land      Sub-Class</w:t>
            </w:r>
          </w:p>
        </w:tc>
        <w:tc>
          <w:tcPr>
            <w:tcW w:w="1260" w:type="dxa"/>
            <w:tcBorders>
              <w:top w:val="single" w:sz="4" w:space="0" w:color="auto"/>
              <w:left w:val="single" w:sz="4" w:space="0" w:color="auto"/>
              <w:bottom w:val="single" w:sz="4" w:space="0" w:color="auto"/>
              <w:right w:val="single" w:sz="4" w:space="0" w:color="auto"/>
            </w:tcBorders>
            <w:shd w:val="clear" w:color="auto" w:fill="F3F3F3"/>
            <w:hideMark/>
          </w:tcPr>
          <w:p w:rsidR="0002463E" w:rsidRPr="00CD7AFC" w:rsidRDefault="0002463E" w:rsidP="006F48F8">
            <w:pPr>
              <w:suppressLineNumbers/>
              <w:tabs>
                <w:tab w:val="center" w:pos="4680"/>
                <w:tab w:val="right" w:pos="9000"/>
              </w:tabs>
              <w:autoSpaceDE w:val="0"/>
              <w:spacing w:after="0" w:line="240" w:lineRule="auto"/>
              <w:ind w:left="144"/>
              <w:rPr>
                <w:b/>
                <w:color w:val="000000"/>
                <w:sz w:val="16"/>
                <w:szCs w:val="16"/>
                <w:lang w:val="en-US"/>
              </w:rPr>
            </w:pPr>
            <w:r w:rsidRPr="00CD7AFC">
              <w:rPr>
                <w:b/>
                <w:color w:val="000000"/>
                <w:sz w:val="16"/>
                <w:szCs w:val="16"/>
              </w:rPr>
              <w:t xml:space="preserve">Site Type </w:t>
            </w:r>
          </w:p>
        </w:tc>
        <w:tc>
          <w:tcPr>
            <w:tcW w:w="4770" w:type="dxa"/>
            <w:tcBorders>
              <w:top w:val="single" w:sz="4" w:space="0" w:color="auto"/>
              <w:left w:val="single" w:sz="4" w:space="0" w:color="auto"/>
              <w:bottom w:val="single" w:sz="4" w:space="0" w:color="auto"/>
              <w:right w:val="single" w:sz="4" w:space="0" w:color="auto"/>
            </w:tcBorders>
            <w:shd w:val="clear" w:color="auto" w:fill="F3F3F3"/>
            <w:hideMark/>
          </w:tcPr>
          <w:p w:rsidR="0002463E" w:rsidRPr="00CD7AFC" w:rsidRDefault="0002463E" w:rsidP="006F48F8">
            <w:pPr>
              <w:suppressLineNumbers/>
              <w:tabs>
                <w:tab w:val="center" w:pos="4680"/>
                <w:tab w:val="right" w:pos="9000"/>
              </w:tabs>
              <w:autoSpaceDE w:val="0"/>
              <w:spacing w:after="0" w:line="240" w:lineRule="auto"/>
              <w:ind w:left="144"/>
              <w:jc w:val="center"/>
              <w:rPr>
                <w:b/>
                <w:color w:val="000000"/>
                <w:sz w:val="16"/>
                <w:szCs w:val="16"/>
                <w:lang w:val="en-US"/>
              </w:rPr>
            </w:pPr>
            <w:r w:rsidRPr="00CD7AFC">
              <w:rPr>
                <w:b/>
                <w:color w:val="000000"/>
                <w:sz w:val="16"/>
                <w:szCs w:val="16"/>
              </w:rPr>
              <w:t>Description</w:t>
            </w:r>
          </w:p>
        </w:tc>
        <w:tc>
          <w:tcPr>
            <w:tcW w:w="990" w:type="dxa"/>
            <w:tcBorders>
              <w:top w:val="single" w:sz="4" w:space="0" w:color="auto"/>
              <w:left w:val="single" w:sz="4" w:space="0" w:color="auto"/>
              <w:bottom w:val="single" w:sz="4" w:space="0" w:color="auto"/>
              <w:right w:val="single" w:sz="4" w:space="0" w:color="auto"/>
            </w:tcBorders>
            <w:shd w:val="clear" w:color="auto" w:fill="F3F3F3"/>
            <w:hideMark/>
          </w:tcPr>
          <w:p w:rsidR="0002463E" w:rsidRPr="00CD7AFC" w:rsidRDefault="0002463E" w:rsidP="006F48F8">
            <w:pPr>
              <w:suppressLineNumbers/>
              <w:tabs>
                <w:tab w:val="center" w:pos="4680"/>
                <w:tab w:val="right" w:pos="9000"/>
              </w:tabs>
              <w:autoSpaceDE w:val="0"/>
              <w:spacing w:after="0" w:line="240" w:lineRule="auto"/>
              <w:ind w:left="144"/>
              <w:jc w:val="center"/>
              <w:rPr>
                <w:b/>
                <w:color w:val="000000"/>
                <w:sz w:val="16"/>
                <w:szCs w:val="16"/>
                <w:lang w:val="en-US"/>
              </w:rPr>
            </w:pPr>
            <w:r w:rsidRPr="00CD7AFC">
              <w:rPr>
                <w:b/>
                <w:color w:val="000000"/>
                <w:sz w:val="16"/>
                <w:szCs w:val="16"/>
              </w:rPr>
              <w:t>ABMI Code</w:t>
            </w:r>
          </w:p>
        </w:tc>
      </w:tr>
      <w:tr w:rsidR="0002463E" w:rsidRPr="00CD7AFC" w:rsidTr="0002463E">
        <w:trPr>
          <w:cantSplit/>
          <w:trHeight w:val="278"/>
        </w:trPr>
        <w:tc>
          <w:tcPr>
            <w:tcW w:w="1080" w:type="dxa"/>
            <w:vMerge w:val="restart"/>
            <w:tcBorders>
              <w:top w:val="single" w:sz="4" w:space="0" w:color="auto"/>
              <w:left w:val="single" w:sz="2" w:space="0" w:color="000000"/>
              <w:bottom w:val="single" w:sz="2" w:space="0" w:color="000000"/>
              <w:right w:val="single" w:sz="6" w:space="0" w:color="000000"/>
            </w:tcBorders>
            <w:shd w:val="clear" w:color="auto" w:fill="FFFFFF"/>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Open Water</w:t>
            </w:r>
          </w:p>
          <w:p w:rsidR="0002463E" w:rsidRPr="00CD7AFC" w:rsidRDefault="0002463E" w:rsidP="006F48F8">
            <w:pPr>
              <w:suppressLineNumbers/>
              <w:tabs>
                <w:tab w:val="center" w:pos="4680"/>
                <w:tab w:val="right" w:pos="9000"/>
              </w:tabs>
              <w:suppressAutoHyphens/>
              <w:autoSpaceDE w:val="0"/>
              <w:spacing w:after="0" w:line="240" w:lineRule="auto"/>
              <w:ind w:left="144"/>
              <w:jc w:val="center"/>
              <w:rPr>
                <w:color w:val="000000"/>
                <w:sz w:val="16"/>
                <w:szCs w:val="16"/>
                <w:lang w:val="en-US"/>
              </w:rPr>
            </w:pPr>
          </w:p>
        </w:tc>
        <w:tc>
          <w:tcPr>
            <w:tcW w:w="1080" w:type="dxa"/>
            <w:tcBorders>
              <w:top w:val="single" w:sz="4" w:space="0" w:color="auto"/>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Lentic</w:t>
            </w:r>
          </w:p>
        </w:tc>
        <w:tc>
          <w:tcPr>
            <w:tcW w:w="1260" w:type="dxa"/>
            <w:tcBorders>
              <w:top w:val="single" w:sz="4" w:space="0" w:color="auto"/>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Standing water</w:t>
            </w:r>
          </w:p>
        </w:tc>
        <w:tc>
          <w:tcPr>
            <w:tcW w:w="4770" w:type="dxa"/>
            <w:tcBorders>
              <w:top w:val="single" w:sz="4" w:space="0" w:color="auto"/>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4"/>
              <w:rPr>
                <w:color w:val="000000"/>
                <w:sz w:val="16"/>
                <w:szCs w:val="16"/>
                <w:lang w:val="en-US"/>
              </w:rPr>
            </w:pPr>
            <w:r w:rsidRPr="00CD7AFC">
              <w:rPr>
                <w:sz w:val="16"/>
                <w:szCs w:val="16"/>
              </w:rPr>
              <w:t xml:space="preserve">Permanent open standing-water with no emergent vegetation, generally larger than </w:t>
            </w:r>
            <w:smartTag w:uri="urn:schemas-microsoft-com:office:smarttags" w:element="metricconverter">
              <w:smartTagPr>
                <w:attr w:name="ProductID" w:val="1.0 ha"/>
              </w:smartTagPr>
              <w:r w:rsidRPr="00CD7AFC">
                <w:rPr>
                  <w:sz w:val="16"/>
                  <w:szCs w:val="16"/>
                </w:rPr>
                <w:t>1.0 ha</w:t>
              </w:r>
            </w:smartTag>
            <w:r w:rsidRPr="00CD7AFC">
              <w:rPr>
                <w:sz w:val="16"/>
                <w:szCs w:val="16"/>
              </w:rPr>
              <w:t xml:space="preserve"> and &gt;</w:t>
            </w:r>
            <w:smartTag w:uri="urn:schemas-microsoft-com:office:smarttags" w:element="metricconverter">
              <w:smartTagPr>
                <w:attr w:name="ProductID" w:val="15 cm"/>
              </w:smartTagPr>
              <w:r w:rsidRPr="00CD7AFC">
                <w:rPr>
                  <w:sz w:val="16"/>
                  <w:szCs w:val="16"/>
                </w:rPr>
                <w:t>15 cm</w:t>
              </w:r>
            </w:smartTag>
            <w:r w:rsidRPr="00CD7AFC">
              <w:rPr>
                <w:sz w:val="16"/>
                <w:szCs w:val="16"/>
              </w:rPr>
              <w:t xml:space="preserve"> deep.</w:t>
            </w:r>
          </w:p>
        </w:tc>
        <w:tc>
          <w:tcPr>
            <w:tcW w:w="990" w:type="dxa"/>
            <w:tcBorders>
              <w:top w:val="single" w:sz="4" w:space="0" w:color="auto"/>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LenW</w:t>
            </w:r>
            <w:proofErr w:type="spellEnd"/>
          </w:p>
        </w:tc>
      </w:tr>
      <w:tr w:rsidR="0002463E" w:rsidRPr="00CD7AFC" w:rsidTr="0002463E">
        <w:trPr>
          <w:cantSplit/>
          <w:trHeight w:val="237"/>
        </w:trPr>
        <w:tc>
          <w:tcPr>
            <w:tcW w:w="1080" w:type="dxa"/>
            <w:vMerge/>
            <w:tcBorders>
              <w:top w:val="single" w:sz="2" w:space="0" w:color="000000"/>
              <w:left w:val="single" w:sz="2" w:space="0" w:color="000000"/>
              <w:bottom w:val="single" w:sz="2"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tcBorders>
              <w:top w:val="single" w:sz="6" w:space="0" w:color="000000"/>
              <w:left w:val="single" w:sz="6" w:space="0" w:color="000000"/>
              <w:bottom w:val="single" w:sz="2" w:space="0" w:color="000000"/>
              <w:right w:val="single" w:sz="6" w:space="0" w:color="000000"/>
            </w:tcBorders>
            <w:shd w:val="clear" w:color="auto" w:fill="FFFFFF"/>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Lotic</w:t>
            </w:r>
          </w:p>
        </w:tc>
        <w:tc>
          <w:tcPr>
            <w:tcW w:w="1260" w:type="dxa"/>
            <w:tcBorders>
              <w:top w:val="single" w:sz="6" w:space="0" w:color="000000"/>
              <w:left w:val="single" w:sz="6" w:space="0" w:color="000000"/>
              <w:bottom w:val="single" w:sz="2"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River</w:t>
            </w:r>
          </w:p>
        </w:tc>
        <w:tc>
          <w:tcPr>
            <w:tcW w:w="4770" w:type="dxa"/>
            <w:tcBorders>
              <w:top w:val="single" w:sz="6" w:space="0" w:color="000000"/>
              <w:left w:val="single" w:sz="6" w:space="0" w:color="000000"/>
              <w:bottom w:val="single" w:sz="2"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4"/>
              <w:rPr>
                <w:color w:val="000000"/>
                <w:sz w:val="16"/>
                <w:szCs w:val="16"/>
                <w:lang w:val="en-US"/>
              </w:rPr>
            </w:pPr>
            <w:r w:rsidRPr="00CD7AFC">
              <w:rPr>
                <w:sz w:val="16"/>
                <w:szCs w:val="16"/>
              </w:rPr>
              <w:t xml:space="preserve">Open water of rivers, generally rivers wider than </w:t>
            </w:r>
            <w:smartTag w:uri="urn:schemas-microsoft-com:office:smarttags" w:element="metricconverter">
              <w:smartTagPr>
                <w:attr w:name="ProductID" w:val="20 m"/>
              </w:smartTagPr>
              <w:r w:rsidRPr="00CD7AFC">
                <w:rPr>
                  <w:sz w:val="16"/>
                  <w:szCs w:val="16"/>
                </w:rPr>
                <w:t>20 m</w:t>
              </w:r>
            </w:smartTag>
            <w:r w:rsidRPr="00CD7AFC">
              <w:rPr>
                <w:sz w:val="16"/>
                <w:szCs w:val="16"/>
              </w:rPr>
              <w:t>.</w:t>
            </w:r>
          </w:p>
        </w:tc>
        <w:tc>
          <w:tcPr>
            <w:tcW w:w="990" w:type="dxa"/>
            <w:tcBorders>
              <w:top w:val="single" w:sz="6" w:space="0" w:color="000000"/>
              <w:left w:val="single" w:sz="6" w:space="0" w:color="000000"/>
              <w:bottom w:val="single" w:sz="2"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LtcR</w:t>
            </w:r>
            <w:proofErr w:type="spellEnd"/>
          </w:p>
        </w:tc>
      </w:tr>
      <w:tr w:rsidR="0002463E" w:rsidRPr="00CD7AFC" w:rsidTr="0002463E">
        <w:trPr>
          <w:cantSplit/>
          <w:trHeight w:val="107"/>
        </w:trPr>
        <w:tc>
          <w:tcPr>
            <w:tcW w:w="1080" w:type="dxa"/>
            <w:vMerge w:val="restart"/>
            <w:tcBorders>
              <w:top w:val="single" w:sz="2" w:space="0" w:color="000000"/>
              <w:left w:val="single" w:sz="2" w:space="0" w:color="000000"/>
              <w:bottom w:val="single" w:sz="6" w:space="0" w:color="000000"/>
              <w:right w:val="single" w:sz="6" w:space="0" w:color="000000"/>
            </w:tcBorders>
            <w:shd w:val="clear" w:color="auto" w:fill="FFFFFF"/>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Native / Natural</w:t>
            </w:r>
          </w:p>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rPr>
            </w:pPr>
            <w:r w:rsidRPr="00CD7AFC">
              <w:rPr>
                <w:color w:val="000000"/>
                <w:sz w:val="16"/>
                <w:szCs w:val="16"/>
              </w:rPr>
              <w:t>Lentic</w:t>
            </w:r>
          </w:p>
          <w:p w:rsidR="0002463E" w:rsidRPr="00CD7AFC" w:rsidRDefault="0002463E" w:rsidP="006F48F8">
            <w:pPr>
              <w:suppressLineNumbers/>
              <w:tabs>
                <w:tab w:val="center" w:pos="4680"/>
                <w:tab w:val="right" w:pos="9000"/>
              </w:tabs>
              <w:suppressAutoHyphens/>
              <w:autoSpaceDE w:val="0"/>
              <w:spacing w:after="0" w:line="240" w:lineRule="auto"/>
              <w:ind w:left="144"/>
              <w:jc w:val="center"/>
              <w:rPr>
                <w:color w:val="000000"/>
                <w:sz w:val="16"/>
                <w:szCs w:val="16"/>
                <w:lang w:val="en-US"/>
              </w:rPr>
            </w:pPr>
          </w:p>
        </w:tc>
        <w:tc>
          <w:tcPr>
            <w:tcW w:w="1080" w:type="dxa"/>
            <w:vMerge w:val="restart"/>
            <w:tcBorders>
              <w:top w:val="single" w:sz="2"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 xml:space="preserve">Lentic </w:t>
            </w:r>
          </w:p>
        </w:tc>
        <w:tc>
          <w:tcPr>
            <w:tcW w:w="1260" w:type="dxa"/>
            <w:tcBorders>
              <w:top w:val="single" w:sz="2"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Temporary </w:t>
            </w:r>
          </w:p>
        </w:tc>
        <w:tc>
          <w:tcPr>
            <w:tcW w:w="4770" w:type="dxa"/>
            <w:tcBorders>
              <w:top w:val="single" w:sz="2"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spacing w:after="0" w:line="240" w:lineRule="auto"/>
              <w:rPr>
                <w:sz w:val="16"/>
                <w:szCs w:val="16"/>
                <w:lang w:val="en-US"/>
              </w:rPr>
            </w:pPr>
            <w:r w:rsidRPr="00CD7AFC">
              <w:rPr>
                <w:color w:val="000000"/>
                <w:sz w:val="16"/>
                <w:szCs w:val="16"/>
              </w:rPr>
              <w:t>Water present &lt;3 weeks (dry by July) &lt;</w:t>
            </w:r>
            <w:smartTag w:uri="urn:schemas-microsoft-com:office:smarttags" w:element="metricconverter">
              <w:smartTagPr>
                <w:attr w:name="ProductID" w:val="15 cm"/>
              </w:smartTagPr>
              <w:r w:rsidRPr="00CD7AFC">
                <w:rPr>
                  <w:color w:val="000000"/>
                  <w:sz w:val="16"/>
                  <w:szCs w:val="16"/>
                </w:rPr>
                <w:t>15 cm</w:t>
              </w:r>
            </w:smartTag>
            <w:r w:rsidRPr="00CD7AFC">
              <w:rPr>
                <w:color w:val="000000"/>
                <w:sz w:val="16"/>
                <w:szCs w:val="16"/>
              </w:rPr>
              <w:t xml:space="preserve"> deep.</w:t>
            </w:r>
          </w:p>
        </w:tc>
        <w:tc>
          <w:tcPr>
            <w:tcW w:w="990" w:type="dxa"/>
            <w:tcBorders>
              <w:top w:val="single" w:sz="2"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LenT</w:t>
            </w:r>
            <w:proofErr w:type="spellEnd"/>
          </w:p>
        </w:tc>
      </w:tr>
      <w:tr w:rsidR="0002463E" w:rsidRPr="00CD7AFC" w:rsidTr="0002463E">
        <w:trPr>
          <w:cantSplit/>
          <w:trHeight w:val="80"/>
        </w:trPr>
        <w:tc>
          <w:tcPr>
            <w:tcW w:w="1080" w:type="dxa"/>
            <w:vMerge/>
            <w:tcBorders>
              <w:top w:val="single" w:sz="2"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2"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Seasonal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spacing w:after="0" w:line="240" w:lineRule="auto"/>
              <w:rPr>
                <w:sz w:val="16"/>
                <w:szCs w:val="16"/>
                <w:lang w:val="en-US"/>
              </w:rPr>
            </w:pPr>
            <w:r w:rsidRPr="00CD7AFC">
              <w:rPr>
                <w:color w:val="000000"/>
                <w:sz w:val="16"/>
                <w:szCs w:val="16"/>
              </w:rPr>
              <w:t>Water usually present &gt;3 weeks (usually dry by July) &gt;</w:t>
            </w:r>
            <w:smartTag w:uri="urn:schemas-microsoft-com:office:smarttags" w:element="metricconverter">
              <w:smartTagPr>
                <w:attr w:name="ProductID" w:val="15 cm"/>
              </w:smartTagPr>
              <w:r w:rsidRPr="00CD7AFC">
                <w:rPr>
                  <w:color w:val="000000"/>
                  <w:sz w:val="16"/>
                  <w:szCs w:val="16"/>
                </w:rPr>
                <w:t>15 cm</w:t>
              </w:r>
            </w:smartTag>
            <w:r w:rsidRPr="00CD7AFC">
              <w:rPr>
                <w:color w:val="000000"/>
                <w:sz w:val="16"/>
                <w:szCs w:val="16"/>
              </w:rPr>
              <w:t xml:space="preserve"> deep.</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LenS</w:t>
            </w:r>
            <w:proofErr w:type="spellEnd"/>
          </w:p>
        </w:tc>
      </w:tr>
      <w:tr w:rsidR="0002463E" w:rsidRPr="00CD7AFC" w:rsidTr="0002463E">
        <w:trPr>
          <w:cantSplit/>
          <w:trHeight w:val="80"/>
        </w:trPr>
        <w:tc>
          <w:tcPr>
            <w:tcW w:w="1080" w:type="dxa"/>
            <w:vMerge/>
            <w:tcBorders>
              <w:top w:val="single" w:sz="2"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2"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Alkali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spacing w:after="0" w:line="240" w:lineRule="auto"/>
              <w:rPr>
                <w:sz w:val="16"/>
                <w:szCs w:val="16"/>
                <w:lang w:val="en-US"/>
              </w:rPr>
            </w:pPr>
            <w:r w:rsidRPr="00CD7AFC">
              <w:rPr>
                <w:color w:val="000000"/>
                <w:sz w:val="16"/>
                <w:szCs w:val="16"/>
              </w:rPr>
              <w:t>Water present &gt;3 weeks and &gt;</w:t>
            </w:r>
            <w:smartTag w:uri="urn:schemas-microsoft-com:office:smarttags" w:element="metricconverter">
              <w:smartTagPr>
                <w:attr w:name="ProductID" w:val="15 cm"/>
              </w:smartTagPr>
              <w:r w:rsidRPr="00CD7AFC">
                <w:rPr>
                  <w:color w:val="000000"/>
                  <w:sz w:val="16"/>
                  <w:szCs w:val="16"/>
                </w:rPr>
                <w:t>15 cm</w:t>
              </w:r>
            </w:smartTag>
            <w:r w:rsidRPr="00CD7AFC">
              <w:rPr>
                <w:color w:val="000000"/>
                <w:sz w:val="16"/>
                <w:szCs w:val="16"/>
              </w:rPr>
              <w:t xml:space="preserve"> deep</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LenA</w:t>
            </w:r>
            <w:proofErr w:type="spellEnd"/>
          </w:p>
        </w:tc>
      </w:tr>
      <w:tr w:rsidR="0002463E" w:rsidRPr="00CD7AFC" w:rsidTr="0002463E">
        <w:trPr>
          <w:cantSplit/>
          <w:trHeight w:val="80"/>
        </w:trPr>
        <w:tc>
          <w:tcPr>
            <w:tcW w:w="1080" w:type="dxa"/>
            <w:vMerge/>
            <w:tcBorders>
              <w:top w:val="single" w:sz="2"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2"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Semi-Permanent to Permanent</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spacing w:after="0" w:line="240" w:lineRule="auto"/>
              <w:rPr>
                <w:sz w:val="16"/>
                <w:szCs w:val="16"/>
                <w:lang w:val="en-US"/>
              </w:rPr>
            </w:pPr>
            <w:r w:rsidRPr="00CD7AFC">
              <w:rPr>
                <w:sz w:val="16"/>
                <w:szCs w:val="16"/>
              </w:rPr>
              <w:t xml:space="preserve">Throughout the year except during periods of extreme drought (present in autumn in 70% of the years); often occurs adjacent to </w:t>
            </w:r>
            <w:proofErr w:type="spellStart"/>
            <w:r w:rsidRPr="00CD7AFC">
              <w:rPr>
                <w:sz w:val="16"/>
                <w:szCs w:val="16"/>
              </w:rPr>
              <w:t>LenW</w:t>
            </w:r>
            <w:proofErr w:type="spellEnd"/>
            <w:r w:rsidRPr="00CD7AFC">
              <w:rPr>
                <w:sz w:val="16"/>
                <w:szCs w:val="16"/>
              </w:rPr>
              <w:t>; includes the march zones; water is generally &gt;</w:t>
            </w:r>
            <w:smartTag w:uri="urn:schemas-microsoft-com:office:smarttags" w:element="metricconverter">
              <w:smartTagPr>
                <w:attr w:name="ProductID" w:val="15 cm"/>
              </w:smartTagPr>
              <w:r w:rsidRPr="00CD7AFC">
                <w:rPr>
                  <w:sz w:val="16"/>
                  <w:szCs w:val="16"/>
                </w:rPr>
                <w:t>15 cm</w:t>
              </w:r>
            </w:smartTag>
            <w:r w:rsidRPr="00CD7AFC">
              <w:rPr>
                <w:sz w:val="16"/>
                <w:szCs w:val="16"/>
              </w:rPr>
              <w:t xml:space="preserve"> deep; if open water is present it is smaller than </w:t>
            </w:r>
            <w:smartTag w:uri="urn:schemas-microsoft-com:office:smarttags" w:element="metricconverter">
              <w:smartTagPr>
                <w:attr w:name="ProductID" w:val="1.0 ha"/>
              </w:smartTagPr>
              <w:r w:rsidRPr="00CD7AFC">
                <w:rPr>
                  <w:sz w:val="16"/>
                  <w:szCs w:val="16"/>
                </w:rPr>
                <w:t>1.0 ha</w:t>
              </w:r>
            </w:smartTag>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LenSP</w:t>
            </w:r>
            <w:proofErr w:type="spellEnd"/>
          </w:p>
        </w:tc>
      </w:tr>
      <w:tr w:rsidR="0002463E" w:rsidRPr="00CD7AFC" w:rsidTr="0002463E">
        <w:trPr>
          <w:cantSplit/>
          <w:trHeight w:val="70"/>
        </w:trPr>
        <w:tc>
          <w:tcPr>
            <w:tcW w:w="1080" w:type="dxa"/>
            <w:vMerge w:val="restart"/>
            <w:tcBorders>
              <w:top w:val="single" w:sz="6" w:space="0" w:color="000000"/>
              <w:left w:val="single" w:sz="2" w:space="0" w:color="000000"/>
              <w:bottom w:val="single" w:sz="6" w:space="0" w:color="000000"/>
              <w:right w:val="single" w:sz="6" w:space="0" w:color="000000"/>
            </w:tcBorders>
            <w:shd w:val="clear" w:color="auto" w:fill="FFFFFF"/>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Native / Natural</w:t>
            </w:r>
          </w:p>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rPr>
            </w:pPr>
            <w:r w:rsidRPr="00CD7AFC">
              <w:rPr>
                <w:color w:val="000000"/>
                <w:sz w:val="16"/>
                <w:szCs w:val="16"/>
              </w:rPr>
              <w:t>Lotic</w:t>
            </w:r>
          </w:p>
          <w:p w:rsidR="0002463E" w:rsidRPr="00CD7AFC" w:rsidRDefault="0002463E" w:rsidP="006F48F8">
            <w:pPr>
              <w:suppressLineNumbers/>
              <w:tabs>
                <w:tab w:val="center" w:pos="4680"/>
                <w:tab w:val="right" w:pos="9000"/>
              </w:tabs>
              <w:suppressAutoHyphens/>
              <w:autoSpaceDE w:val="0"/>
              <w:spacing w:after="0" w:line="240" w:lineRule="auto"/>
              <w:ind w:left="144"/>
              <w:jc w:val="center"/>
              <w:rPr>
                <w:color w:val="000000"/>
                <w:sz w:val="16"/>
                <w:szCs w:val="16"/>
                <w:lang w:val="en-US"/>
              </w:rPr>
            </w:pPr>
          </w:p>
        </w:tc>
        <w:tc>
          <w:tcPr>
            <w:tcW w:w="1080"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 xml:space="preserve">Lotic </w:t>
            </w:r>
          </w:p>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Coniferous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spacing w:after="0" w:line="240" w:lineRule="auto"/>
              <w:rPr>
                <w:sz w:val="16"/>
                <w:szCs w:val="16"/>
                <w:lang w:val="en-US"/>
              </w:rPr>
            </w:pPr>
            <w:r w:rsidRPr="00CD7AFC">
              <w:rPr>
                <w:sz w:val="16"/>
                <w:szCs w:val="16"/>
              </w:rPr>
              <w:t>Coniferous trees with a combined canopy cover of greater than 25%.</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LtcC</w:t>
            </w:r>
            <w:proofErr w:type="spellEnd"/>
          </w:p>
        </w:tc>
      </w:tr>
      <w:tr w:rsidR="0002463E" w:rsidRPr="00CD7AFC" w:rsidTr="0002463E">
        <w:trPr>
          <w:cantSplit/>
          <w:trHeight w:val="117"/>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Deciduous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spacing w:after="0" w:line="240" w:lineRule="auto"/>
              <w:rPr>
                <w:sz w:val="16"/>
                <w:szCs w:val="16"/>
                <w:lang w:val="en-US"/>
              </w:rPr>
            </w:pPr>
            <w:r w:rsidRPr="00CD7AFC">
              <w:rPr>
                <w:sz w:val="16"/>
                <w:szCs w:val="16"/>
              </w:rPr>
              <w:t>Deciduous trees with a combined canopy cover of greater than 25%.</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LtcD</w:t>
            </w:r>
            <w:proofErr w:type="spellEnd"/>
          </w:p>
        </w:tc>
      </w:tr>
      <w:tr w:rsidR="0002463E" w:rsidRPr="00CD7AFC" w:rsidTr="0002463E">
        <w:trPr>
          <w:cantSplit/>
          <w:trHeight w:val="80"/>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Shrub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spacing w:after="0" w:line="240" w:lineRule="auto"/>
              <w:rPr>
                <w:sz w:val="16"/>
                <w:szCs w:val="16"/>
                <w:lang w:val="en-US"/>
              </w:rPr>
            </w:pPr>
            <w:r w:rsidRPr="00CD7AFC">
              <w:rPr>
                <w:sz w:val="16"/>
                <w:szCs w:val="16"/>
              </w:rPr>
              <w:t>Shrubs have a combined cover of at least 10%.</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LtcS</w:t>
            </w:r>
            <w:proofErr w:type="spellEnd"/>
          </w:p>
        </w:tc>
      </w:tr>
      <w:tr w:rsidR="0002463E" w:rsidRPr="00CD7AFC" w:rsidTr="0002463E">
        <w:trPr>
          <w:cantSplit/>
          <w:trHeight w:val="108"/>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Herbaceous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spacing w:after="0" w:line="240" w:lineRule="auto"/>
              <w:rPr>
                <w:sz w:val="16"/>
                <w:szCs w:val="16"/>
                <w:lang w:val="en-US"/>
              </w:rPr>
            </w:pPr>
            <w:r w:rsidRPr="00CD7AFC">
              <w:rPr>
                <w:sz w:val="16"/>
                <w:szCs w:val="16"/>
              </w:rPr>
              <w:t>Herbaceous species (including sedges) have a combined cover of at least 5%.</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LtcH</w:t>
            </w:r>
            <w:proofErr w:type="spellEnd"/>
          </w:p>
        </w:tc>
      </w:tr>
      <w:tr w:rsidR="0002463E" w:rsidRPr="00CD7AFC" w:rsidTr="0002463E">
        <w:trPr>
          <w:cantSplit/>
          <w:trHeight w:val="143"/>
        </w:trPr>
        <w:tc>
          <w:tcPr>
            <w:tcW w:w="1080" w:type="dxa"/>
            <w:vMerge w:val="restart"/>
            <w:tcBorders>
              <w:top w:val="single" w:sz="6" w:space="0" w:color="000000"/>
              <w:left w:val="single" w:sz="2" w:space="0" w:color="000000"/>
              <w:bottom w:val="single" w:sz="6" w:space="0" w:color="000000"/>
              <w:right w:val="single" w:sz="6" w:space="0" w:color="000000"/>
            </w:tcBorders>
            <w:shd w:val="clear" w:color="auto" w:fill="FFFFFF"/>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lastRenderedPageBreak/>
              <w:t>Native / Natural</w:t>
            </w:r>
          </w:p>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rPr>
            </w:pPr>
            <w:r w:rsidRPr="00CD7AFC">
              <w:rPr>
                <w:color w:val="000000"/>
                <w:sz w:val="16"/>
                <w:szCs w:val="16"/>
              </w:rPr>
              <w:t>Grassland</w:t>
            </w:r>
          </w:p>
          <w:p w:rsidR="0002463E" w:rsidRPr="00CD7AFC" w:rsidRDefault="0002463E" w:rsidP="006F48F8">
            <w:pPr>
              <w:suppressLineNumbers/>
              <w:tabs>
                <w:tab w:val="center" w:pos="4680"/>
                <w:tab w:val="right" w:pos="9000"/>
              </w:tabs>
              <w:suppressAutoHyphens/>
              <w:autoSpaceDE w:val="0"/>
              <w:spacing w:after="0" w:line="240" w:lineRule="auto"/>
              <w:ind w:left="144"/>
              <w:jc w:val="center"/>
              <w:rPr>
                <w:color w:val="000000"/>
                <w:sz w:val="16"/>
                <w:szCs w:val="16"/>
                <w:lang w:val="en-US"/>
              </w:rPr>
            </w:pPr>
          </w:p>
        </w:tc>
        <w:tc>
          <w:tcPr>
            <w:tcW w:w="108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Grassland</w:t>
            </w: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proofErr w:type="spellStart"/>
            <w:r w:rsidRPr="00CD7AFC">
              <w:rPr>
                <w:color w:val="000000"/>
                <w:sz w:val="16"/>
                <w:szCs w:val="16"/>
              </w:rPr>
              <w:t>Subirrigated</w:t>
            </w:r>
            <w:proofErr w:type="spellEnd"/>
            <w:r w:rsidRPr="00CD7AFC">
              <w:rPr>
                <w:color w:val="000000"/>
                <w:sz w:val="16"/>
                <w:szCs w:val="16"/>
              </w:rPr>
              <w:t xml:space="preserve">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4"/>
              <w:rPr>
                <w:color w:val="000000"/>
                <w:sz w:val="16"/>
                <w:szCs w:val="16"/>
                <w:lang w:val="en-US"/>
              </w:rPr>
            </w:pPr>
            <w:r w:rsidRPr="00CD7AFC">
              <w:rPr>
                <w:sz w:val="16"/>
                <w:szCs w:val="16"/>
              </w:rPr>
              <w:t xml:space="preserve">Water table is close to surface during growing season, but rarely above.  Does not have a defined </w:t>
            </w:r>
            <w:proofErr w:type="spellStart"/>
            <w:r w:rsidRPr="00CD7AFC">
              <w:rPr>
                <w:sz w:val="16"/>
                <w:szCs w:val="16"/>
              </w:rPr>
              <w:t>depressional</w:t>
            </w:r>
            <w:proofErr w:type="spellEnd"/>
            <w:r w:rsidRPr="00CD7AFC">
              <w:rPr>
                <w:sz w:val="16"/>
                <w:szCs w:val="16"/>
              </w:rPr>
              <w:t xml:space="preserve"> edge.</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Sb</w:t>
            </w:r>
          </w:p>
        </w:tc>
      </w:tr>
      <w:tr w:rsidR="0002463E" w:rsidRPr="00CD7AFC" w:rsidTr="0002463E">
        <w:trPr>
          <w:cantSplit/>
          <w:trHeight w:val="90"/>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Overflow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Areas subject to water spreading and sheet flow. Typically on gentle inclines or terraces above the frequent flood zone. For locations where flood frequency is less than once every ten years.</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Ov</w:t>
            </w:r>
            <w:proofErr w:type="spellEnd"/>
          </w:p>
        </w:tc>
      </w:tr>
      <w:tr w:rsidR="0002463E" w:rsidRPr="00CD7AFC" w:rsidTr="0002463E">
        <w:trPr>
          <w:cantSplit/>
          <w:trHeight w:val="288"/>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Clayey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 xml:space="preserve">Clayey-textured soils including silty clay, sandy clay, clay, and heavy clay. Generally &gt;40% clay. </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Cy</w:t>
            </w:r>
          </w:p>
        </w:tc>
      </w:tr>
      <w:tr w:rsidR="0002463E" w:rsidRPr="00CD7AFC" w:rsidTr="0002463E">
        <w:trPr>
          <w:cantSplit/>
          <w:trHeight w:val="360"/>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Loamy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 xml:space="preserve">Includes loam, silt loam, silt, clay loam, sandy clay loam, and silty clay loam. </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Lo</w:t>
            </w:r>
          </w:p>
        </w:tc>
      </w:tr>
      <w:tr w:rsidR="0002463E" w:rsidRPr="00CD7AFC" w:rsidTr="0002463E">
        <w:trPr>
          <w:cantSplit/>
          <w:trHeight w:val="117"/>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Sandy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Sandy-loam-textured soils.</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Sy</w:t>
            </w:r>
            <w:proofErr w:type="spellEnd"/>
          </w:p>
        </w:tc>
      </w:tr>
      <w:tr w:rsidR="0002463E" w:rsidRPr="00CD7AFC" w:rsidTr="0002463E">
        <w:trPr>
          <w:cantSplit/>
          <w:trHeight w:val="80"/>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Limy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Eroded or immature soils with free lime (CaCO</w:t>
            </w:r>
            <w:r w:rsidRPr="00CD7AFC">
              <w:rPr>
                <w:sz w:val="16"/>
                <w:szCs w:val="16"/>
                <w:vertAlign w:val="subscript"/>
              </w:rPr>
              <w:t>3</w:t>
            </w:r>
            <w:r w:rsidRPr="00CD7AFC">
              <w:rPr>
                <w:sz w:val="16"/>
                <w:szCs w:val="16"/>
              </w:rPr>
              <w:t>) at the soil surface. Soil pH generally &gt;7.5.</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Li</w:t>
            </w:r>
          </w:p>
        </w:tc>
      </w:tr>
      <w:tr w:rsidR="0002463E" w:rsidRPr="00CD7AFC" w:rsidTr="0002463E">
        <w:trPr>
          <w:cantSplit/>
          <w:trHeight w:val="108"/>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Sand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 xml:space="preserve">Loamy sand and </w:t>
            </w:r>
            <w:proofErr w:type="spellStart"/>
            <w:r w:rsidRPr="00CD7AFC">
              <w:rPr>
                <w:sz w:val="16"/>
                <w:szCs w:val="16"/>
              </w:rPr>
              <w:t>sand</w:t>
            </w:r>
            <w:proofErr w:type="spellEnd"/>
            <w:r w:rsidRPr="00CD7AFC">
              <w:rPr>
                <w:sz w:val="16"/>
                <w:szCs w:val="16"/>
              </w:rPr>
              <w:t xml:space="preserve"> soils, and not with a </w:t>
            </w:r>
            <w:proofErr w:type="spellStart"/>
            <w:r w:rsidRPr="00CD7AFC">
              <w:rPr>
                <w:sz w:val="16"/>
                <w:szCs w:val="16"/>
              </w:rPr>
              <w:t>duned</w:t>
            </w:r>
            <w:proofErr w:type="spellEnd"/>
            <w:r w:rsidRPr="00CD7AFC">
              <w:rPr>
                <w:sz w:val="16"/>
                <w:szCs w:val="16"/>
              </w:rPr>
              <w:t xml:space="preserve"> surface. </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Sa</w:t>
            </w:r>
          </w:p>
        </w:tc>
      </w:tr>
      <w:tr w:rsidR="0002463E" w:rsidRPr="00CD7AFC" w:rsidTr="0002463E">
        <w:trPr>
          <w:cantSplit/>
          <w:trHeight w:val="153"/>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Blowouts/ </w:t>
            </w:r>
            <w:proofErr w:type="spellStart"/>
            <w:r w:rsidRPr="00CD7AFC">
              <w:rPr>
                <w:color w:val="000000"/>
                <w:sz w:val="16"/>
                <w:szCs w:val="16"/>
              </w:rPr>
              <w:t>Solonetzic</w:t>
            </w:r>
            <w:proofErr w:type="spellEnd"/>
            <w:r w:rsidRPr="00CD7AFC">
              <w:rPr>
                <w:color w:val="000000"/>
                <w:sz w:val="16"/>
                <w:szCs w:val="16"/>
              </w:rPr>
              <w:t xml:space="preserve"> Order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 xml:space="preserve">Areas with </w:t>
            </w:r>
            <w:proofErr w:type="spellStart"/>
            <w:r w:rsidRPr="00CD7AFC">
              <w:rPr>
                <w:sz w:val="16"/>
                <w:szCs w:val="16"/>
              </w:rPr>
              <w:t>Solonetzic</w:t>
            </w:r>
            <w:proofErr w:type="spellEnd"/>
            <w:r w:rsidRPr="00CD7AFC">
              <w:rPr>
                <w:sz w:val="16"/>
                <w:szCs w:val="16"/>
              </w:rPr>
              <w:t xml:space="preserve"> (hardpan) soils.  The surface may or may not have eroded pits. </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BlO</w:t>
            </w:r>
            <w:proofErr w:type="spellEnd"/>
          </w:p>
        </w:tc>
      </w:tr>
      <w:tr w:rsidR="0002463E" w:rsidRPr="00CD7AFC" w:rsidTr="0002463E">
        <w:trPr>
          <w:cantSplit/>
          <w:trHeight w:val="90"/>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Choppy </w:t>
            </w:r>
            <w:proofErr w:type="spellStart"/>
            <w:r w:rsidRPr="00CD7AFC">
              <w:rPr>
                <w:color w:val="000000"/>
                <w:sz w:val="16"/>
                <w:szCs w:val="16"/>
              </w:rPr>
              <w:t>Sandhills</w:t>
            </w:r>
            <w:proofErr w:type="spellEnd"/>
            <w:r w:rsidRPr="00CD7AFC">
              <w:rPr>
                <w:color w:val="000000"/>
                <w:sz w:val="16"/>
                <w:szCs w:val="16"/>
              </w:rPr>
              <w:t xml:space="preserve">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 xml:space="preserve">Loamy sand and </w:t>
            </w:r>
            <w:proofErr w:type="spellStart"/>
            <w:r w:rsidRPr="00CD7AFC">
              <w:rPr>
                <w:sz w:val="16"/>
                <w:szCs w:val="16"/>
              </w:rPr>
              <w:t>sand</w:t>
            </w:r>
            <w:proofErr w:type="spellEnd"/>
            <w:r w:rsidRPr="00CD7AFC">
              <w:rPr>
                <w:sz w:val="16"/>
                <w:szCs w:val="16"/>
              </w:rPr>
              <w:t xml:space="preserve"> soils with a </w:t>
            </w:r>
            <w:proofErr w:type="spellStart"/>
            <w:r w:rsidRPr="00CD7AFC">
              <w:rPr>
                <w:sz w:val="16"/>
                <w:szCs w:val="16"/>
              </w:rPr>
              <w:t>duned</w:t>
            </w:r>
            <w:proofErr w:type="spellEnd"/>
            <w:r w:rsidRPr="00CD7AFC">
              <w:rPr>
                <w:sz w:val="16"/>
                <w:szCs w:val="16"/>
              </w:rPr>
              <w:t xml:space="preserve"> land surface. </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CS</w:t>
            </w:r>
          </w:p>
        </w:tc>
      </w:tr>
      <w:tr w:rsidR="0002463E" w:rsidRPr="00CD7AFC" w:rsidTr="0002463E">
        <w:trPr>
          <w:cantSplit/>
          <w:trHeight w:val="135"/>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Thin Breaks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 xml:space="preserve">Areas with bedrock at or near the soil surface.  Amount of vegetation is intermediate between Limy and Badlands. TB may include thin, eroded or immature soils on gentle to steep slopes. </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TB</w:t>
            </w:r>
          </w:p>
        </w:tc>
      </w:tr>
      <w:tr w:rsidR="0002463E" w:rsidRPr="00CD7AFC" w:rsidTr="0002463E">
        <w:trPr>
          <w:cantSplit/>
          <w:trHeight w:val="80"/>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Shallow to Gravel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 xml:space="preserve">Soil with 20 to </w:t>
            </w:r>
            <w:smartTag w:uri="urn:schemas-microsoft-com:office:smarttags" w:element="metricconverter">
              <w:smartTagPr>
                <w:attr w:name="ProductID" w:val="50 cm"/>
              </w:smartTagPr>
              <w:r w:rsidRPr="00CD7AFC">
                <w:rPr>
                  <w:sz w:val="16"/>
                  <w:szCs w:val="16"/>
                </w:rPr>
                <w:t>50 cm</w:t>
              </w:r>
            </w:smartTag>
            <w:r w:rsidRPr="00CD7AFC">
              <w:rPr>
                <w:sz w:val="16"/>
                <w:szCs w:val="16"/>
              </w:rPr>
              <w:t xml:space="preserve"> of a sandy or loamy surface overlying a gravel or cobble- rich substrate. </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SwG</w:t>
            </w:r>
            <w:proofErr w:type="spellEnd"/>
          </w:p>
        </w:tc>
      </w:tr>
      <w:tr w:rsidR="0002463E" w:rsidRPr="00CD7AFC" w:rsidTr="0002463E">
        <w:trPr>
          <w:cantSplit/>
          <w:trHeight w:val="207"/>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Saline Lowland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spacing w:after="0" w:line="240" w:lineRule="auto"/>
              <w:ind w:leftChars="-26" w:left="-57"/>
              <w:rPr>
                <w:b/>
                <w:sz w:val="16"/>
                <w:szCs w:val="16"/>
                <w:lang w:val="en-US"/>
              </w:rPr>
            </w:pPr>
            <w:r w:rsidRPr="00CD7AFC">
              <w:rPr>
                <w:sz w:val="16"/>
                <w:szCs w:val="16"/>
              </w:rPr>
              <w:t>Areas with negligible vegetation due to electrical conductivity (salts) and/or sodium adsorption ratio limitations.</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SL</w:t>
            </w:r>
          </w:p>
        </w:tc>
      </w:tr>
      <w:tr w:rsidR="0002463E" w:rsidRPr="00CD7AFC" w:rsidTr="0002463E">
        <w:trPr>
          <w:cantSplit/>
          <w:trHeight w:val="80"/>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Gravel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Dominated by gravels or cobbles (&gt;50% coarse fragments). May be covered by a mantle &lt;</w:t>
            </w:r>
            <w:smartTag w:uri="urn:schemas-microsoft-com:office:smarttags" w:element="metricconverter">
              <w:smartTagPr>
                <w:attr w:name="ProductID" w:val="20 cm"/>
              </w:smartTagPr>
              <w:r w:rsidRPr="00CD7AFC">
                <w:rPr>
                  <w:sz w:val="16"/>
                  <w:szCs w:val="16"/>
                </w:rPr>
                <w:t>20 cm</w:t>
              </w:r>
            </w:smartTag>
            <w:r w:rsidRPr="00CD7AFC">
              <w:rPr>
                <w:sz w:val="16"/>
                <w:szCs w:val="16"/>
              </w:rPr>
              <w:t xml:space="preserve"> thick with some gravels. </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r w:rsidRPr="00CD7AFC">
              <w:rPr>
                <w:color w:val="000000"/>
                <w:sz w:val="16"/>
                <w:szCs w:val="16"/>
              </w:rPr>
              <w:t>Gr</w:t>
            </w:r>
          </w:p>
        </w:tc>
      </w:tr>
      <w:tr w:rsidR="0002463E" w:rsidRPr="00CD7AFC" w:rsidTr="0002463E">
        <w:trPr>
          <w:cantSplit/>
          <w:trHeight w:val="117"/>
        </w:trPr>
        <w:tc>
          <w:tcPr>
            <w:tcW w:w="1080" w:type="dxa"/>
            <w:vMerge/>
            <w:tcBorders>
              <w:top w:val="single" w:sz="6" w:space="0" w:color="000000"/>
              <w:left w:val="single" w:sz="2"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080" w:type="dxa"/>
            <w:vMerge/>
            <w:tcBorders>
              <w:top w:val="single" w:sz="6" w:space="0" w:color="000000"/>
              <w:left w:val="single" w:sz="6" w:space="0" w:color="000000"/>
              <w:bottom w:val="single" w:sz="6" w:space="0" w:color="000000"/>
              <w:right w:val="single" w:sz="6" w:space="0" w:color="000000"/>
            </w:tcBorders>
            <w:vAlign w:val="center"/>
            <w:hideMark/>
          </w:tcPr>
          <w:p w:rsidR="0002463E" w:rsidRPr="00CD7AFC" w:rsidRDefault="0002463E" w:rsidP="006F48F8">
            <w:pPr>
              <w:spacing w:after="0" w:line="240" w:lineRule="auto"/>
              <w:rPr>
                <w:color w:val="000000"/>
                <w:sz w:val="16"/>
                <w:szCs w:val="16"/>
                <w:lang w:val="en-US"/>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rPr>
                <w:color w:val="000000"/>
                <w:sz w:val="16"/>
                <w:szCs w:val="16"/>
                <w:lang w:val="en-US"/>
              </w:rPr>
            </w:pPr>
            <w:r w:rsidRPr="00CD7AFC">
              <w:rPr>
                <w:color w:val="000000"/>
                <w:sz w:val="16"/>
                <w:szCs w:val="16"/>
              </w:rPr>
              <w:t xml:space="preserve">Badlands/ Bedrock </w:t>
            </w:r>
          </w:p>
        </w:tc>
        <w:tc>
          <w:tcPr>
            <w:tcW w:w="4770" w:type="dxa"/>
            <w:tcBorders>
              <w:top w:val="single" w:sz="6" w:space="0" w:color="000000"/>
              <w:left w:val="single" w:sz="6" w:space="0" w:color="000000"/>
              <w:bottom w:val="single" w:sz="6" w:space="0" w:color="000000"/>
              <w:right w:val="single" w:sz="6" w:space="0" w:color="000000"/>
            </w:tcBorders>
            <w:shd w:val="clear" w:color="auto" w:fill="FFFFFF"/>
            <w:hideMark/>
          </w:tcPr>
          <w:p w:rsidR="0002463E" w:rsidRPr="00CD7AFC" w:rsidRDefault="0002463E" w:rsidP="006F48F8">
            <w:pPr>
              <w:suppressLineNumbers/>
              <w:tabs>
                <w:tab w:val="center" w:pos="4680"/>
                <w:tab w:val="right" w:pos="9000"/>
              </w:tabs>
              <w:spacing w:after="0" w:line="240" w:lineRule="auto"/>
              <w:rPr>
                <w:sz w:val="16"/>
                <w:szCs w:val="16"/>
                <w:lang w:val="en-US"/>
              </w:rPr>
            </w:pPr>
            <w:r w:rsidRPr="00CD7AFC">
              <w:rPr>
                <w:sz w:val="16"/>
                <w:szCs w:val="16"/>
              </w:rPr>
              <w:t xml:space="preserve">Nearly barren or barren lands, with exposures of soft rock, hard rock, or surficial geology. Includes steep valley walls. </w:t>
            </w:r>
          </w:p>
        </w:tc>
        <w:tc>
          <w:tcPr>
            <w:tcW w:w="990" w:type="dxa"/>
            <w:tcBorders>
              <w:top w:val="single" w:sz="6" w:space="0" w:color="000000"/>
              <w:left w:val="single" w:sz="6" w:space="0" w:color="000000"/>
              <w:bottom w:val="single" w:sz="6" w:space="0" w:color="000000"/>
              <w:right w:val="single" w:sz="2" w:space="0" w:color="000000"/>
            </w:tcBorders>
            <w:shd w:val="clear" w:color="auto" w:fill="FFFFFF"/>
            <w:hideMark/>
          </w:tcPr>
          <w:p w:rsidR="0002463E" w:rsidRPr="00CD7AFC" w:rsidRDefault="0002463E" w:rsidP="006F48F8">
            <w:pPr>
              <w:suppressLineNumbers/>
              <w:tabs>
                <w:tab w:val="center" w:pos="4680"/>
                <w:tab w:val="right" w:pos="9000"/>
              </w:tabs>
              <w:autoSpaceDE w:val="0"/>
              <w:spacing w:after="0" w:line="240" w:lineRule="auto"/>
              <w:ind w:left="144"/>
              <w:jc w:val="center"/>
              <w:rPr>
                <w:color w:val="000000"/>
                <w:sz w:val="16"/>
                <w:szCs w:val="16"/>
                <w:lang w:val="en-US"/>
              </w:rPr>
            </w:pPr>
            <w:proofErr w:type="spellStart"/>
            <w:r w:rsidRPr="00CD7AFC">
              <w:rPr>
                <w:color w:val="000000"/>
                <w:sz w:val="16"/>
                <w:szCs w:val="16"/>
              </w:rPr>
              <w:t>BdL</w:t>
            </w:r>
            <w:proofErr w:type="spellEnd"/>
          </w:p>
        </w:tc>
      </w:tr>
    </w:tbl>
    <w:p w:rsidR="0002463E" w:rsidRPr="006F48F8" w:rsidRDefault="0002463E" w:rsidP="006F48F8">
      <w:pPr>
        <w:spacing w:after="0" w:line="240" w:lineRule="auto"/>
        <w:rPr>
          <w:lang w:val="en-US"/>
        </w:rPr>
      </w:pPr>
    </w:p>
    <w:sectPr w:rsidR="0002463E" w:rsidRPr="006F48F8">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im Schieck" w:date="2015-08-12T12:39:00Z" w:initials="JS">
    <w:p w:rsidR="00445BA6" w:rsidRDefault="00445BA6">
      <w:pPr>
        <w:pStyle w:val="CommentText"/>
      </w:pPr>
      <w:r>
        <w:rPr>
          <w:rStyle w:val="CommentReference"/>
        </w:rPr>
        <w:annotationRef/>
      </w:r>
      <w:r>
        <w:t>Link to the documents</w:t>
      </w:r>
    </w:p>
  </w:comment>
  <w:comment w:id="1" w:author="Jim Schieck" w:date="2015-08-12T12:39:00Z" w:initials="JS">
    <w:p w:rsidR="006B6DF6" w:rsidRDefault="006B6DF6">
      <w:pPr>
        <w:pStyle w:val="CommentText"/>
      </w:pPr>
      <w:r>
        <w:rPr>
          <w:rStyle w:val="CommentReference"/>
        </w:rPr>
        <w:annotationRef/>
      </w:r>
      <w:r>
        <w:t>Link to the document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B4C32"/>
    <w:multiLevelType w:val="multilevel"/>
    <w:tmpl w:val="CD9E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9CC"/>
    <w:rsid w:val="0002463E"/>
    <w:rsid w:val="00070B51"/>
    <w:rsid w:val="00092375"/>
    <w:rsid w:val="001C1236"/>
    <w:rsid w:val="002E19C4"/>
    <w:rsid w:val="002E5D3C"/>
    <w:rsid w:val="0032112E"/>
    <w:rsid w:val="00445BA6"/>
    <w:rsid w:val="00647388"/>
    <w:rsid w:val="00647A1C"/>
    <w:rsid w:val="00647E2F"/>
    <w:rsid w:val="006A29CC"/>
    <w:rsid w:val="006B6DF6"/>
    <w:rsid w:val="006F48F8"/>
    <w:rsid w:val="00727FE0"/>
    <w:rsid w:val="0075424D"/>
    <w:rsid w:val="007C4D07"/>
    <w:rsid w:val="008247A4"/>
    <w:rsid w:val="0082751C"/>
    <w:rsid w:val="009A7D62"/>
    <w:rsid w:val="009C1F66"/>
    <w:rsid w:val="009E5B4A"/>
    <w:rsid w:val="00A6099E"/>
    <w:rsid w:val="00A9619C"/>
    <w:rsid w:val="00B77D40"/>
    <w:rsid w:val="00C009C7"/>
    <w:rsid w:val="00CD34AC"/>
    <w:rsid w:val="00CD7AFC"/>
    <w:rsid w:val="00CF3AA7"/>
    <w:rsid w:val="00CF7C77"/>
    <w:rsid w:val="00D20DBC"/>
    <w:rsid w:val="00DD6FAF"/>
    <w:rsid w:val="00F175BC"/>
    <w:rsid w:val="00F272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C1F66"/>
    <w:rPr>
      <w:sz w:val="16"/>
      <w:szCs w:val="16"/>
    </w:rPr>
  </w:style>
  <w:style w:type="paragraph" w:styleId="CommentText">
    <w:name w:val="annotation text"/>
    <w:basedOn w:val="Normal"/>
    <w:link w:val="CommentTextChar"/>
    <w:uiPriority w:val="99"/>
    <w:semiHidden/>
    <w:unhideWhenUsed/>
    <w:rsid w:val="009C1F66"/>
    <w:pPr>
      <w:spacing w:line="240" w:lineRule="auto"/>
    </w:pPr>
    <w:rPr>
      <w:sz w:val="20"/>
      <w:szCs w:val="20"/>
    </w:rPr>
  </w:style>
  <w:style w:type="character" w:customStyle="1" w:styleId="CommentTextChar">
    <w:name w:val="Comment Text Char"/>
    <w:basedOn w:val="DefaultParagraphFont"/>
    <w:link w:val="CommentText"/>
    <w:uiPriority w:val="99"/>
    <w:semiHidden/>
    <w:rsid w:val="009C1F66"/>
    <w:rPr>
      <w:sz w:val="20"/>
      <w:szCs w:val="20"/>
    </w:rPr>
  </w:style>
  <w:style w:type="paragraph" w:styleId="CommentSubject">
    <w:name w:val="annotation subject"/>
    <w:basedOn w:val="CommentText"/>
    <w:next w:val="CommentText"/>
    <w:link w:val="CommentSubjectChar"/>
    <w:uiPriority w:val="99"/>
    <w:semiHidden/>
    <w:unhideWhenUsed/>
    <w:rsid w:val="009C1F66"/>
    <w:rPr>
      <w:b/>
      <w:bCs/>
    </w:rPr>
  </w:style>
  <w:style w:type="character" w:customStyle="1" w:styleId="CommentSubjectChar">
    <w:name w:val="Comment Subject Char"/>
    <w:basedOn w:val="CommentTextChar"/>
    <w:link w:val="CommentSubject"/>
    <w:uiPriority w:val="99"/>
    <w:semiHidden/>
    <w:rsid w:val="009C1F66"/>
    <w:rPr>
      <w:b/>
      <w:bCs/>
      <w:sz w:val="20"/>
      <w:szCs w:val="20"/>
    </w:rPr>
  </w:style>
  <w:style w:type="paragraph" w:styleId="BalloonText">
    <w:name w:val="Balloon Text"/>
    <w:basedOn w:val="Normal"/>
    <w:link w:val="BalloonTextChar"/>
    <w:uiPriority w:val="99"/>
    <w:semiHidden/>
    <w:unhideWhenUsed/>
    <w:rsid w:val="009C1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F66"/>
    <w:rPr>
      <w:rFonts w:ascii="Tahoma" w:hAnsi="Tahoma" w:cs="Tahoma"/>
      <w:sz w:val="16"/>
      <w:szCs w:val="16"/>
    </w:rPr>
  </w:style>
  <w:style w:type="paragraph" w:styleId="NormalWeb">
    <w:name w:val="Normal (Web)"/>
    <w:basedOn w:val="Normal"/>
    <w:uiPriority w:val="99"/>
    <w:semiHidden/>
    <w:unhideWhenUsed/>
    <w:rsid w:val="00727F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727F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C1F66"/>
    <w:rPr>
      <w:sz w:val="16"/>
      <w:szCs w:val="16"/>
    </w:rPr>
  </w:style>
  <w:style w:type="paragraph" w:styleId="CommentText">
    <w:name w:val="annotation text"/>
    <w:basedOn w:val="Normal"/>
    <w:link w:val="CommentTextChar"/>
    <w:uiPriority w:val="99"/>
    <w:semiHidden/>
    <w:unhideWhenUsed/>
    <w:rsid w:val="009C1F66"/>
    <w:pPr>
      <w:spacing w:line="240" w:lineRule="auto"/>
    </w:pPr>
    <w:rPr>
      <w:sz w:val="20"/>
      <w:szCs w:val="20"/>
    </w:rPr>
  </w:style>
  <w:style w:type="character" w:customStyle="1" w:styleId="CommentTextChar">
    <w:name w:val="Comment Text Char"/>
    <w:basedOn w:val="DefaultParagraphFont"/>
    <w:link w:val="CommentText"/>
    <w:uiPriority w:val="99"/>
    <w:semiHidden/>
    <w:rsid w:val="009C1F66"/>
    <w:rPr>
      <w:sz w:val="20"/>
      <w:szCs w:val="20"/>
    </w:rPr>
  </w:style>
  <w:style w:type="paragraph" w:styleId="CommentSubject">
    <w:name w:val="annotation subject"/>
    <w:basedOn w:val="CommentText"/>
    <w:next w:val="CommentText"/>
    <w:link w:val="CommentSubjectChar"/>
    <w:uiPriority w:val="99"/>
    <w:semiHidden/>
    <w:unhideWhenUsed/>
    <w:rsid w:val="009C1F66"/>
    <w:rPr>
      <w:b/>
      <w:bCs/>
    </w:rPr>
  </w:style>
  <w:style w:type="character" w:customStyle="1" w:styleId="CommentSubjectChar">
    <w:name w:val="Comment Subject Char"/>
    <w:basedOn w:val="CommentTextChar"/>
    <w:link w:val="CommentSubject"/>
    <w:uiPriority w:val="99"/>
    <w:semiHidden/>
    <w:rsid w:val="009C1F66"/>
    <w:rPr>
      <w:b/>
      <w:bCs/>
      <w:sz w:val="20"/>
      <w:szCs w:val="20"/>
    </w:rPr>
  </w:style>
  <w:style w:type="paragraph" w:styleId="BalloonText">
    <w:name w:val="Balloon Text"/>
    <w:basedOn w:val="Normal"/>
    <w:link w:val="BalloonTextChar"/>
    <w:uiPriority w:val="99"/>
    <w:semiHidden/>
    <w:unhideWhenUsed/>
    <w:rsid w:val="009C1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F66"/>
    <w:rPr>
      <w:rFonts w:ascii="Tahoma" w:hAnsi="Tahoma" w:cs="Tahoma"/>
      <w:sz w:val="16"/>
      <w:szCs w:val="16"/>
    </w:rPr>
  </w:style>
  <w:style w:type="paragraph" w:styleId="NormalWeb">
    <w:name w:val="Normal (Web)"/>
    <w:basedOn w:val="Normal"/>
    <w:uiPriority w:val="99"/>
    <w:semiHidden/>
    <w:unhideWhenUsed/>
    <w:rsid w:val="00727F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727F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17114">
      <w:bodyDiv w:val="1"/>
      <w:marLeft w:val="0"/>
      <w:marRight w:val="0"/>
      <w:marTop w:val="0"/>
      <w:marBottom w:val="0"/>
      <w:divBdr>
        <w:top w:val="none" w:sz="0" w:space="0" w:color="auto"/>
        <w:left w:val="none" w:sz="0" w:space="0" w:color="auto"/>
        <w:bottom w:val="none" w:sz="0" w:space="0" w:color="auto"/>
        <w:right w:val="none" w:sz="0" w:space="0" w:color="auto"/>
      </w:divBdr>
      <w:divsChild>
        <w:div w:id="459953792">
          <w:marLeft w:val="0"/>
          <w:marRight w:val="0"/>
          <w:marTop w:val="0"/>
          <w:marBottom w:val="0"/>
          <w:divBdr>
            <w:top w:val="none" w:sz="0" w:space="0" w:color="auto"/>
            <w:left w:val="none" w:sz="0" w:space="0" w:color="auto"/>
            <w:bottom w:val="none" w:sz="0" w:space="0" w:color="auto"/>
            <w:right w:val="none" w:sz="0" w:space="0" w:color="auto"/>
          </w:divBdr>
          <w:divsChild>
            <w:div w:id="382290449">
              <w:marLeft w:val="0"/>
              <w:marRight w:val="0"/>
              <w:marTop w:val="0"/>
              <w:marBottom w:val="0"/>
              <w:divBdr>
                <w:top w:val="none" w:sz="0" w:space="0" w:color="auto"/>
                <w:left w:val="none" w:sz="0" w:space="0" w:color="auto"/>
                <w:bottom w:val="none" w:sz="0" w:space="0" w:color="auto"/>
                <w:right w:val="none" w:sz="0" w:space="0" w:color="auto"/>
              </w:divBdr>
              <w:divsChild>
                <w:div w:id="1888225902">
                  <w:marLeft w:val="0"/>
                  <w:marRight w:val="0"/>
                  <w:marTop w:val="0"/>
                  <w:marBottom w:val="0"/>
                  <w:divBdr>
                    <w:top w:val="none" w:sz="0" w:space="0" w:color="auto"/>
                    <w:left w:val="none" w:sz="0" w:space="0" w:color="auto"/>
                    <w:bottom w:val="none" w:sz="0" w:space="0" w:color="auto"/>
                    <w:right w:val="none" w:sz="0" w:space="0" w:color="auto"/>
                  </w:divBdr>
                  <w:divsChild>
                    <w:div w:id="1695575207">
                      <w:marLeft w:val="0"/>
                      <w:marRight w:val="0"/>
                      <w:marTop w:val="0"/>
                      <w:marBottom w:val="0"/>
                      <w:divBdr>
                        <w:top w:val="none" w:sz="0" w:space="0" w:color="auto"/>
                        <w:left w:val="none" w:sz="0" w:space="0" w:color="auto"/>
                        <w:bottom w:val="none" w:sz="0" w:space="0" w:color="auto"/>
                        <w:right w:val="none" w:sz="0" w:space="0" w:color="auto"/>
                      </w:divBdr>
                      <w:divsChild>
                        <w:div w:id="52252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573332">
      <w:bodyDiv w:val="1"/>
      <w:marLeft w:val="0"/>
      <w:marRight w:val="0"/>
      <w:marTop w:val="0"/>
      <w:marBottom w:val="0"/>
      <w:divBdr>
        <w:top w:val="none" w:sz="0" w:space="0" w:color="auto"/>
        <w:left w:val="none" w:sz="0" w:space="0" w:color="auto"/>
        <w:bottom w:val="none" w:sz="0" w:space="0" w:color="auto"/>
        <w:right w:val="none" w:sz="0" w:space="0" w:color="auto"/>
      </w:divBdr>
      <w:divsChild>
        <w:div w:id="1176766912">
          <w:marLeft w:val="0"/>
          <w:marRight w:val="0"/>
          <w:marTop w:val="100"/>
          <w:marBottom w:val="100"/>
          <w:divBdr>
            <w:top w:val="none" w:sz="0" w:space="0" w:color="auto"/>
            <w:left w:val="none" w:sz="0" w:space="0" w:color="auto"/>
            <w:bottom w:val="none" w:sz="0" w:space="0" w:color="auto"/>
            <w:right w:val="none" w:sz="0" w:space="0" w:color="auto"/>
          </w:divBdr>
          <w:divsChild>
            <w:div w:id="1443450337">
              <w:marLeft w:val="0"/>
              <w:marRight w:val="0"/>
              <w:marTop w:val="2640"/>
              <w:marBottom w:val="0"/>
              <w:divBdr>
                <w:top w:val="none" w:sz="0" w:space="0" w:color="auto"/>
                <w:left w:val="none" w:sz="0" w:space="0" w:color="auto"/>
                <w:bottom w:val="none" w:sz="0" w:space="0" w:color="auto"/>
                <w:right w:val="none" w:sz="0" w:space="0" w:color="auto"/>
              </w:divBdr>
            </w:div>
          </w:divsChild>
        </w:div>
      </w:divsChild>
    </w:div>
    <w:div w:id="581180713">
      <w:bodyDiv w:val="1"/>
      <w:marLeft w:val="0"/>
      <w:marRight w:val="0"/>
      <w:marTop w:val="0"/>
      <w:marBottom w:val="0"/>
      <w:divBdr>
        <w:top w:val="none" w:sz="0" w:space="0" w:color="auto"/>
        <w:left w:val="none" w:sz="0" w:space="0" w:color="auto"/>
        <w:bottom w:val="none" w:sz="0" w:space="0" w:color="auto"/>
        <w:right w:val="none" w:sz="0" w:space="0" w:color="auto"/>
      </w:divBdr>
    </w:div>
    <w:div w:id="1235092535">
      <w:bodyDiv w:val="1"/>
      <w:marLeft w:val="0"/>
      <w:marRight w:val="0"/>
      <w:marTop w:val="0"/>
      <w:marBottom w:val="0"/>
      <w:divBdr>
        <w:top w:val="none" w:sz="0" w:space="0" w:color="auto"/>
        <w:left w:val="none" w:sz="0" w:space="0" w:color="auto"/>
        <w:bottom w:val="none" w:sz="0" w:space="0" w:color="auto"/>
        <w:right w:val="none" w:sz="0" w:space="0" w:color="auto"/>
      </w:divBdr>
    </w:div>
    <w:div w:id="1508062579">
      <w:bodyDiv w:val="1"/>
      <w:marLeft w:val="0"/>
      <w:marRight w:val="0"/>
      <w:marTop w:val="0"/>
      <w:marBottom w:val="0"/>
      <w:divBdr>
        <w:top w:val="none" w:sz="0" w:space="0" w:color="auto"/>
        <w:left w:val="none" w:sz="0" w:space="0" w:color="auto"/>
        <w:bottom w:val="none" w:sz="0" w:space="0" w:color="auto"/>
        <w:right w:val="none" w:sz="0" w:space="0" w:color="auto"/>
      </w:divBdr>
    </w:div>
    <w:div w:id="1736856821">
      <w:bodyDiv w:val="1"/>
      <w:marLeft w:val="0"/>
      <w:marRight w:val="0"/>
      <w:marTop w:val="0"/>
      <w:marBottom w:val="0"/>
      <w:divBdr>
        <w:top w:val="none" w:sz="0" w:space="0" w:color="auto"/>
        <w:left w:val="none" w:sz="0" w:space="0" w:color="auto"/>
        <w:bottom w:val="none" w:sz="0" w:space="0" w:color="auto"/>
        <w:right w:val="none" w:sz="0" w:space="0" w:color="auto"/>
      </w:divBdr>
    </w:div>
    <w:div w:id="2041589656">
      <w:bodyDiv w:val="1"/>
      <w:marLeft w:val="0"/>
      <w:marRight w:val="0"/>
      <w:marTop w:val="0"/>
      <w:marBottom w:val="0"/>
      <w:divBdr>
        <w:top w:val="none" w:sz="0" w:space="0" w:color="auto"/>
        <w:left w:val="none" w:sz="0" w:space="0" w:color="auto"/>
        <w:bottom w:val="none" w:sz="0" w:space="0" w:color="auto"/>
        <w:right w:val="none" w:sz="0" w:space="0" w:color="auto"/>
      </w:divBdr>
      <w:divsChild>
        <w:div w:id="274413221">
          <w:marLeft w:val="0"/>
          <w:marRight w:val="0"/>
          <w:marTop w:val="100"/>
          <w:marBottom w:val="100"/>
          <w:divBdr>
            <w:top w:val="none" w:sz="0" w:space="0" w:color="auto"/>
            <w:left w:val="none" w:sz="0" w:space="0" w:color="auto"/>
            <w:bottom w:val="none" w:sz="0" w:space="0" w:color="auto"/>
            <w:right w:val="none" w:sz="0" w:space="0" w:color="auto"/>
          </w:divBdr>
          <w:divsChild>
            <w:div w:id="784077085">
              <w:marLeft w:val="0"/>
              <w:marRight w:val="0"/>
              <w:marTop w:val="264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gr.gc.ca/cansis/nsdb/slc/v3.2/index.html" TargetMode="External"/><Relationship Id="rId3" Type="http://schemas.microsoft.com/office/2007/relationships/stylesWithEffects" Target="stylesWithEffects.xml"/><Relationship Id="rId7" Type="http://schemas.openxmlformats.org/officeDocument/2006/relationships/hyperlink" Target="http://www.ags.gov.ab.ca/publications/abstracts/MAP_600.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gs.gov.ab.ca/publications/abstracts/Map_601.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www1.agric.gov.ab.ca/$Department/deptdocs.nsf/All/sag146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Alberta Innovates - Technology Futures</Company>
  <LinksUpToDate>false</LinksUpToDate>
  <CharactersWithSpaces>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Schieck</dc:creator>
  <cp:lastModifiedBy>Jim Schieck</cp:lastModifiedBy>
  <cp:revision>3</cp:revision>
  <dcterms:created xsi:type="dcterms:W3CDTF">2015-08-13T21:55:00Z</dcterms:created>
  <dcterms:modified xsi:type="dcterms:W3CDTF">2015-08-13T22:05:00Z</dcterms:modified>
</cp:coreProperties>
</file>